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2021年度其他重要事项的情况说明</w:t>
      </w:r>
    </w:p>
    <w:p>
      <w:pPr>
        <w:spacing w:line="560" w:lineRule="atLeast"/>
        <w:ind w:firstLine="614" w:firstLineChars="192"/>
        <w:rPr>
          <w:rFonts w:ascii="黑体" w:hAnsi="黑体" w:eastAsia="黑体" w:cs="Times New Roman"/>
          <w:sz w:val="32"/>
          <w:szCs w:val="32"/>
        </w:rPr>
      </w:pPr>
      <w:r>
        <w:rPr>
          <w:rFonts w:hint="eastAsia" w:ascii="黑体" w:hAnsi="黑体" w:eastAsia="黑体" w:cs="Times New Roman"/>
          <w:sz w:val="32"/>
          <w:szCs w:val="32"/>
        </w:rPr>
        <w:t>一、“三公”经费财政拨款支出情况</w:t>
      </w:r>
    </w:p>
    <w:p>
      <w:pPr>
        <w:spacing w:line="560"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北京市海淀区圆明园管理处</w:t>
      </w:r>
      <w:r>
        <w:rPr>
          <w:rFonts w:hint="eastAsia" w:ascii="仿宋_GB2312" w:hAnsi="Times New Roman" w:eastAsia="仿宋_GB2312" w:cs="Times New Roman"/>
          <w:sz w:val="32"/>
          <w:szCs w:val="32"/>
        </w:rPr>
        <w:t>因公出国（境）费用、公务接待费、公务用车购置和公务用车运行维护费开支单位包括所属</w:t>
      </w:r>
      <w:r>
        <w:rPr>
          <w:rFonts w:hint="eastAsia" w:ascii="仿宋_GB2312" w:hAnsi="Times New Roman" w:eastAsia="仿宋_GB2312" w:cs="Times New Roman"/>
          <w:bCs/>
          <w:sz w:val="32"/>
          <w:szCs w:val="32"/>
        </w:rPr>
        <w:t>0</w:t>
      </w:r>
      <w:r>
        <w:rPr>
          <w:rFonts w:hint="eastAsia" w:ascii="仿宋_GB2312" w:hAnsi="Times New Roman" w:eastAsia="仿宋_GB2312" w:cs="Times New Roman"/>
          <w:sz w:val="32"/>
          <w:szCs w:val="32"/>
        </w:rPr>
        <w:t>个行政单位、</w:t>
      </w:r>
      <w:r>
        <w:rPr>
          <w:rFonts w:hint="eastAsia" w:ascii="仿宋_GB2312" w:hAnsi="Times New Roman" w:eastAsia="仿宋_GB2312" w:cs="Times New Roman"/>
          <w:bCs/>
          <w:sz w:val="32"/>
          <w:szCs w:val="32"/>
        </w:rPr>
        <w:t>0个参照公务员法管理事业单位、1个差额拨款事业单位</w:t>
      </w:r>
      <w:r>
        <w:rPr>
          <w:rFonts w:hint="eastAsia" w:ascii="仿宋_GB2312" w:hAnsi="Times New Roman" w:eastAsia="仿宋_GB2312" w:cs="Times New Roman"/>
          <w:sz w:val="32"/>
          <w:szCs w:val="32"/>
        </w:rPr>
        <w:t>。</w:t>
      </w:r>
    </w:p>
    <w:p>
      <w:pPr>
        <w:spacing w:line="560" w:lineRule="atLeas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2021年“三公”经费财政拨款决算数50000.00元，比2021年“三公”经费财政拨款预算下达数50000.00元增加</w:t>
      </w:r>
      <w:r>
        <w:rPr>
          <w:rFonts w:ascii="仿宋_GB2312" w:hAnsi="Times New Roman" w:eastAsia="仿宋_GB2312" w:cs="Times New Roman"/>
          <w:sz w:val="32"/>
          <w:szCs w:val="32"/>
        </w:rPr>
        <w:t>0.00</w:t>
      </w:r>
      <w:r>
        <w:rPr>
          <w:rFonts w:hint="eastAsia" w:ascii="仿宋_GB2312" w:hAnsi="Times New Roman" w:eastAsia="仿宋_GB2312" w:cs="Times New Roman"/>
          <w:sz w:val="32"/>
          <w:szCs w:val="32"/>
        </w:rPr>
        <w:t>元。其中：</w:t>
      </w:r>
    </w:p>
    <w:p>
      <w:pPr>
        <w:spacing w:line="560" w:lineRule="atLeast"/>
        <w:ind w:firstLine="6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1、因公出国（境）费用。2021年决算数0.00元，比2021年年初预算数0.00元增加</w:t>
      </w:r>
      <w:r>
        <w:rPr>
          <w:rFonts w:ascii="仿宋_GB2312" w:hAnsi="Times New Roman" w:eastAsia="仿宋_GB2312" w:cs="Times New Roman"/>
          <w:sz w:val="32"/>
          <w:szCs w:val="32"/>
        </w:rPr>
        <w:t>0.00</w:t>
      </w:r>
      <w:r>
        <w:rPr>
          <w:rFonts w:hint="eastAsia" w:ascii="仿宋_GB2312" w:hAnsi="Times New Roman" w:eastAsia="仿宋_GB2312" w:cs="Times New Roman"/>
          <w:sz w:val="32"/>
          <w:szCs w:val="32"/>
        </w:rPr>
        <w:t>元。</w:t>
      </w:r>
      <w:r>
        <w:rPr>
          <w:rFonts w:hint="eastAsia" w:ascii="仿宋_GB2312" w:hAnsi="Times New Roman" w:eastAsia="仿宋_GB2312" w:cs="Times New Roman"/>
          <w:color w:val="000000" w:themeColor="text1"/>
          <w:sz w:val="32"/>
          <w:szCs w:val="32"/>
          <w14:textFill>
            <w14:solidFill>
              <w14:schemeClr w14:val="tx1"/>
            </w14:solidFill>
          </w14:textFill>
        </w:rPr>
        <w:t>2021年组织因公出国（境）团组0个、0人次，人均因公出国（境）费用0.00元。</w:t>
      </w:r>
    </w:p>
    <w:p>
      <w:pPr>
        <w:spacing w:line="560" w:lineRule="atLeast"/>
        <w:ind w:firstLine="6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2、公务接待费。2021年决算数0.00元，比2021年年初预算数0.00元增加</w:t>
      </w:r>
      <w:r>
        <w:rPr>
          <w:rFonts w:ascii="仿宋_GB2312" w:hAnsi="Times New Roman" w:eastAsia="仿宋_GB2312" w:cs="Times New Roman"/>
          <w:sz w:val="32"/>
          <w:szCs w:val="32"/>
        </w:rPr>
        <w:t>0.00</w:t>
      </w:r>
      <w:r>
        <w:rPr>
          <w:rFonts w:hint="eastAsia" w:ascii="仿宋_GB2312" w:hAnsi="Times New Roman" w:eastAsia="仿宋_GB2312" w:cs="Times New Roman"/>
          <w:sz w:val="32"/>
          <w:szCs w:val="32"/>
        </w:rPr>
        <w:t>元。</w:t>
      </w:r>
      <w:bookmarkStart w:id="0" w:name="_GoBack"/>
      <w:r>
        <w:rPr>
          <w:rFonts w:hint="eastAsia" w:ascii="仿宋_GB2312" w:hAnsi="Times New Roman" w:eastAsia="仿宋_GB2312" w:cs="Times New Roman"/>
          <w:color w:val="000000" w:themeColor="text1"/>
          <w:sz w:val="32"/>
          <w:szCs w:val="32"/>
          <w14:textFill>
            <w14:solidFill>
              <w14:schemeClr w14:val="tx1"/>
            </w14:solidFill>
          </w14:textFill>
        </w:rPr>
        <w:t>2021年公务接待0批次，公务接待0人次。</w:t>
      </w:r>
    </w:p>
    <w:bookmarkEnd w:id="0"/>
    <w:p>
      <w:pPr>
        <w:spacing w:line="560" w:lineRule="atLeas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3、公务用车购置及运行维护费。2021年决算数50000.00元，比2021年预算数50000.00元增加0.00元。其中，公务用车购置费2021年决算数0.00元，比2021年年初预算数0.00元增加</w:t>
      </w:r>
      <w:r>
        <w:rPr>
          <w:rFonts w:ascii="仿宋_GB2312" w:hAnsi="Times New Roman" w:eastAsia="仿宋_GB2312" w:cs="Times New Roman"/>
          <w:sz w:val="32"/>
          <w:szCs w:val="32"/>
        </w:rPr>
        <w:t>0.00</w:t>
      </w:r>
      <w:r>
        <w:rPr>
          <w:rFonts w:hint="eastAsia" w:ascii="仿宋_GB2312" w:hAnsi="Times New Roman" w:eastAsia="仿宋_GB2312" w:cs="Times New Roman"/>
          <w:sz w:val="32"/>
          <w:szCs w:val="32"/>
        </w:rPr>
        <w:t>元。</w:t>
      </w:r>
    </w:p>
    <w:p>
      <w:pPr>
        <w:spacing w:line="560" w:lineRule="atLeas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公务用车运行维护费2021年决算数50000.00元，比2021年预算数50000.00元增加0.00元。2021年公务用车保有量4辆，车均运行维护费12500.00元。</w:t>
      </w:r>
    </w:p>
    <w:p>
      <w:pPr>
        <w:spacing w:line="560" w:lineRule="atLeast"/>
        <w:ind w:left="540"/>
        <w:rPr>
          <w:rFonts w:ascii="黑体" w:hAnsi="黑体" w:eastAsia="黑体" w:cs="Times New Roman"/>
          <w:sz w:val="32"/>
          <w:szCs w:val="32"/>
        </w:rPr>
      </w:pPr>
      <w:r>
        <w:rPr>
          <w:rFonts w:hint="eastAsia" w:ascii="黑体" w:hAnsi="黑体" w:eastAsia="黑体" w:cs="宋体"/>
          <w:kern w:val="0"/>
          <w:sz w:val="32"/>
          <w:szCs w:val="32"/>
        </w:rPr>
        <w:t>二、2021年度机关运行</w:t>
      </w:r>
      <w:r>
        <w:rPr>
          <w:rFonts w:hint="eastAsia" w:ascii="黑体" w:hAnsi="黑体" w:eastAsia="黑体" w:cs="Times New Roman"/>
          <w:sz w:val="32"/>
          <w:szCs w:val="32"/>
        </w:rPr>
        <w:t>经费支出情况</w:t>
      </w:r>
    </w:p>
    <w:p>
      <w:pPr>
        <w:spacing w:line="560" w:lineRule="atLeast"/>
        <w:ind w:left="54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我单位不属于机关运行经费统计范围。</w:t>
      </w:r>
    </w:p>
    <w:p>
      <w:pPr>
        <w:spacing w:line="56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三、2021年度政府采购支出情况</w:t>
      </w:r>
    </w:p>
    <w:p>
      <w:pPr>
        <w:spacing w:line="560"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2021年政府采购支出总额</w:t>
      </w:r>
      <w:r>
        <w:rPr>
          <w:rFonts w:ascii="仿宋_GB2312" w:hAnsi="Times New Roman" w:eastAsia="仿宋_GB2312" w:cs="Times New Roman"/>
          <w:sz w:val="32"/>
          <w:szCs w:val="32"/>
        </w:rPr>
        <w:t>45,976,019.00</w:t>
      </w:r>
      <w:r>
        <w:rPr>
          <w:rFonts w:hint="eastAsia" w:ascii="仿宋_GB2312" w:hAnsi="Times New Roman" w:eastAsia="仿宋_GB2312" w:cs="Times New Roman"/>
          <w:sz w:val="32"/>
          <w:szCs w:val="32"/>
        </w:rPr>
        <w:t>元，其中：政府采购货物支出</w:t>
      </w:r>
      <w:r>
        <w:rPr>
          <w:rFonts w:ascii="仿宋_GB2312" w:hAnsi="Times New Roman" w:eastAsia="仿宋_GB2312" w:cs="Times New Roman"/>
          <w:sz w:val="32"/>
          <w:szCs w:val="32"/>
        </w:rPr>
        <w:t>280,519.00</w:t>
      </w:r>
      <w:r>
        <w:rPr>
          <w:rFonts w:hint="eastAsia" w:ascii="仿宋_GB2312" w:hAnsi="Times New Roman" w:eastAsia="仿宋_GB2312" w:cs="Times New Roman"/>
          <w:sz w:val="32"/>
          <w:szCs w:val="32"/>
        </w:rPr>
        <w:t>元，政府采购工程支出</w:t>
      </w:r>
      <w:r>
        <w:rPr>
          <w:rFonts w:ascii="仿宋_GB2312" w:hAnsi="Times New Roman" w:eastAsia="仿宋_GB2312" w:cs="Times New Roman"/>
          <w:sz w:val="32"/>
          <w:szCs w:val="32"/>
        </w:rPr>
        <w:t>8,191,000.00</w:t>
      </w:r>
      <w:r>
        <w:rPr>
          <w:rFonts w:hint="eastAsia" w:ascii="仿宋_GB2312" w:hAnsi="Times New Roman" w:eastAsia="仿宋_GB2312" w:cs="Times New Roman"/>
          <w:sz w:val="32"/>
          <w:szCs w:val="32"/>
        </w:rPr>
        <w:t>元，政府采购服务支出37,504,500.00元。授予中小企业合同金额33,804,500.00元，占政府采购支出总额的73.53%，其中：授予小微企业合同金额</w:t>
      </w:r>
      <w:r>
        <w:rPr>
          <w:rFonts w:ascii="仿宋_GB2312" w:hAnsi="Times New Roman" w:eastAsia="仿宋_GB2312" w:cs="Times New Roman"/>
          <w:sz w:val="32"/>
          <w:szCs w:val="32"/>
        </w:rPr>
        <w:t>26,187,500.00</w:t>
      </w:r>
      <w:r>
        <w:rPr>
          <w:rFonts w:hint="eastAsia" w:ascii="仿宋_GB2312" w:hAnsi="Times New Roman" w:eastAsia="仿宋_GB2312" w:cs="Times New Roman"/>
          <w:sz w:val="32"/>
          <w:szCs w:val="32"/>
        </w:rPr>
        <w:t>元，占政府采购支出总额的56.96%。</w:t>
      </w:r>
    </w:p>
    <w:p>
      <w:pPr>
        <w:spacing w:line="56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四、2021年度国有资产占用情况</w:t>
      </w:r>
    </w:p>
    <w:p>
      <w:pPr>
        <w:tabs>
          <w:tab w:val="center" w:pos="6979"/>
        </w:tabs>
        <w:spacing w:line="560" w:lineRule="atLeast"/>
        <w:ind w:firstLine="627" w:firstLineChars="196"/>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2021年度车辆15台，1,254,756,40元；单价50万元以上的通用设备1台（套），11,862,896.28元，单价100万元以上的专用设备2台（套）。</w:t>
      </w:r>
    </w:p>
    <w:p>
      <w:pPr>
        <w:spacing w:line="56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五、2021年度政府购买服务支出情况</w:t>
      </w:r>
    </w:p>
    <w:p>
      <w:pPr>
        <w:spacing w:line="560" w:lineRule="atLeas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2021年本部门无政府购买服务。</w:t>
      </w:r>
    </w:p>
    <w:p>
      <w:pPr>
        <w:spacing w:line="56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六、名词解释</w:t>
      </w:r>
    </w:p>
    <w:p>
      <w:pPr>
        <w:spacing w:line="560" w:lineRule="atLeas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1.基本支出：指为保障机构正常运转、完成日常工作任务而发生的人员支出和公用支出。</w:t>
      </w:r>
    </w:p>
    <w:p>
      <w:pPr>
        <w:spacing w:line="560" w:lineRule="atLeas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2.项目支出：指在基本支出之外为完成特定行政任务或事业发展目标所发生的支出。</w:t>
      </w:r>
    </w:p>
    <w:p>
      <w:pPr>
        <w:spacing w:line="560" w:lineRule="atLeast"/>
        <w:ind w:firstLine="6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宋体" w:eastAsia="仿宋_GB2312" w:cs="Times New Roman"/>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宋体" w:eastAsia="仿宋_GB2312" w:cs="Times New Roman"/>
          <w:sz w:val="32"/>
          <w:szCs w:val="32"/>
        </w:rPr>
        <w:t>机关运行经费支出，是指</w:t>
      </w:r>
      <w:r>
        <w:rPr>
          <w:rFonts w:hint="eastAsia" w:ascii="仿宋_GB2312" w:hAnsi="Times New Roman" w:eastAsia="仿宋_GB2312" w:cs="Times New Roman"/>
          <w:sz w:val="32"/>
          <w:szCs w:val="32"/>
        </w:rPr>
        <w:t>为行政单位和参照公务员法管理事业单位使用的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5.政府采购：指各级国家机关、事业单位和团体组织，使用财政性资金采购依法制定的集中目录以内的或者采购限额标准以上的货物、工程和服务的行为。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6.政府购买服务：是指各级国家机关将属于自身职责范围且适合通过市场化方式提供的服务事项，按照政府采购方式和程序，交由符合条件的服务供应商承担，并根据服务数量和质量等因素向其支付费用的行为。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7.</w:t>
      </w:r>
      <w:r>
        <w:rPr>
          <w:rFonts w:hint="eastAsia"/>
        </w:rPr>
        <w:t xml:space="preserve"> </w:t>
      </w:r>
      <w:r>
        <w:rPr>
          <w:rFonts w:hint="eastAsia" w:ascii="仿宋_GB2312" w:hAnsi="Times New Roman" w:eastAsia="仿宋_GB2312" w:cs="Times New Roman"/>
          <w:sz w:val="32"/>
          <w:szCs w:val="32"/>
        </w:rPr>
        <w:t>教育支出：反映政府教育事务支出。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8.</w:t>
      </w:r>
      <w:r>
        <w:rPr>
          <w:rFonts w:hint="eastAsia"/>
        </w:rPr>
        <w:t xml:space="preserve"> </w:t>
      </w:r>
      <w:r>
        <w:rPr>
          <w:rFonts w:hint="eastAsia" w:ascii="仿宋_GB2312" w:hAnsi="Times New Roman" w:eastAsia="仿宋_GB2312" w:cs="Times New Roman"/>
          <w:sz w:val="32"/>
          <w:szCs w:val="32"/>
        </w:rPr>
        <w:t>科学技术支出：反映科学技术方面的支出。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hint="eastAsia"/>
        </w:rPr>
        <w:t xml:space="preserve"> </w:t>
      </w:r>
      <w:r>
        <w:rPr>
          <w:rFonts w:hint="eastAsia" w:ascii="仿宋_GB2312" w:hAnsi="Times New Roman" w:eastAsia="仿宋_GB2312" w:cs="Times New Roman"/>
          <w:sz w:val="32"/>
          <w:szCs w:val="32"/>
        </w:rPr>
        <w:t>文化旅游体育与传媒支出：反映政府在文化、旅游、文物、广播电视、电影、新闻出版等方面的支出。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10.</w:t>
      </w:r>
      <w:r>
        <w:rPr>
          <w:rFonts w:hint="eastAsia"/>
        </w:rPr>
        <w:t xml:space="preserve"> </w:t>
      </w:r>
      <w:r>
        <w:rPr>
          <w:rFonts w:hint="eastAsia" w:ascii="仿宋_GB2312" w:hAnsi="Times New Roman" w:eastAsia="仿宋_GB2312" w:cs="Times New Roman"/>
          <w:sz w:val="32"/>
          <w:szCs w:val="32"/>
        </w:rPr>
        <w:t>社会保障和就业支出：反映政府在社会保障与就业方面的支出。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11.</w:t>
      </w:r>
      <w:r>
        <w:rPr>
          <w:rFonts w:hint="eastAsia"/>
        </w:rPr>
        <w:t xml:space="preserve"> </w:t>
      </w:r>
      <w:r>
        <w:rPr>
          <w:rFonts w:hint="eastAsia" w:ascii="仿宋_GB2312" w:hAnsi="Times New Roman" w:eastAsia="仿宋_GB2312" w:cs="Times New Roman"/>
          <w:sz w:val="32"/>
          <w:szCs w:val="32"/>
        </w:rPr>
        <w:t>卫生健康支出：反映政府卫生健康方面的支出。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12.</w:t>
      </w:r>
      <w:r>
        <w:rPr>
          <w:rFonts w:hint="eastAsia" w:ascii="仿宋_GB2312" w:eastAsia="仿宋_GB2312"/>
          <w:sz w:val="32"/>
          <w:szCs w:val="32"/>
        </w:rPr>
        <w:t xml:space="preserve"> 工资福利支出：反映单位开支的在职职工和编制外长期聘用人员的各类劳动报酬，以及为上述人员缴纳的各项社会保险费等。</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13．商品和服务支出：反映单位购买商品和服务的支出，不包括用于购置固定资产、战略性和应急性物资储备等资本性支出。</w:t>
      </w:r>
    </w:p>
    <w:p>
      <w:pPr>
        <w:spacing w:line="560" w:lineRule="atLeast"/>
        <w:ind w:firstLine="614" w:firstLineChars="192"/>
        <w:rPr>
          <w:rFonts w:ascii="仿宋_GB2312" w:hAnsi="Times New Roman" w:eastAsia="仿宋_GB2312" w:cs="Times New Roman"/>
          <w:sz w:val="32"/>
          <w:szCs w:val="32"/>
        </w:rPr>
      </w:pPr>
      <w:r>
        <w:rPr>
          <w:rFonts w:hint="eastAsia" w:ascii="仿宋_GB2312" w:hAnsi="Times New Roman" w:eastAsia="仿宋_GB2312" w:cs="Times New Roman"/>
          <w:sz w:val="32"/>
          <w:szCs w:val="32"/>
        </w:rPr>
        <w:t>14.</w:t>
      </w:r>
      <w:r>
        <w:rPr>
          <w:rFonts w:hint="eastAsia"/>
        </w:rPr>
        <w:t xml:space="preserve"> </w:t>
      </w:r>
      <w:r>
        <w:rPr>
          <w:rFonts w:hint="eastAsia" w:ascii="仿宋_GB2312" w:hAnsi="Times New Roman" w:eastAsia="仿宋_GB2312" w:cs="Times New Roman"/>
          <w:sz w:val="32"/>
          <w:szCs w:val="32"/>
        </w:rPr>
        <w:t>对个人和家庭的补助：反映政府用于对个人和家庭的补助支出。</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9902032"/>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50"/>
    <w:rsid w:val="00016866"/>
    <w:rsid w:val="00037112"/>
    <w:rsid w:val="000A0C06"/>
    <w:rsid w:val="000B679D"/>
    <w:rsid w:val="00140A69"/>
    <w:rsid w:val="00197667"/>
    <w:rsid w:val="001A34A4"/>
    <w:rsid w:val="001E261A"/>
    <w:rsid w:val="0028321D"/>
    <w:rsid w:val="002A0E30"/>
    <w:rsid w:val="002A18E0"/>
    <w:rsid w:val="002E0324"/>
    <w:rsid w:val="002E4419"/>
    <w:rsid w:val="0030115A"/>
    <w:rsid w:val="003117E0"/>
    <w:rsid w:val="00313E6F"/>
    <w:rsid w:val="0032246E"/>
    <w:rsid w:val="004246E6"/>
    <w:rsid w:val="0043592E"/>
    <w:rsid w:val="00470E38"/>
    <w:rsid w:val="00473089"/>
    <w:rsid w:val="004C3D4A"/>
    <w:rsid w:val="004C62B8"/>
    <w:rsid w:val="00502C82"/>
    <w:rsid w:val="005750A3"/>
    <w:rsid w:val="00587416"/>
    <w:rsid w:val="005D1CBE"/>
    <w:rsid w:val="005F7579"/>
    <w:rsid w:val="006205E6"/>
    <w:rsid w:val="00632531"/>
    <w:rsid w:val="006451F2"/>
    <w:rsid w:val="0066255D"/>
    <w:rsid w:val="0066623C"/>
    <w:rsid w:val="006C3A6E"/>
    <w:rsid w:val="00766342"/>
    <w:rsid w:val="007708EC"/>
    <w:rsid w:val="00786236"/>
    <w:rsid w:val="00792E52"/>
    <w:rsid w:val="007B0B9A"/>
    <w:rsid w:val="007C5B02"/>
    <w:rsid w:val="00810EC8"/>
    <w:rsid w:val="0085158C"/>
    <w:rsid w:val="00861866"/>
    <w:rsid w:val="00886D97"/>
    <w:rsid w:val="008C1481"/>
    <w:rsid w:val="008D28A5"/>
    <w:rsid w:val="00940841"/>
    <w:rsid w:val="0099656B"/>
    <w:rsid w:val="009D0C97"/>
    <w:rsid w:val="009F7A11"/>
    <w:rsid w:val="00A3334B"/>
    <w:rsid w:val="00AF4F6F"/>
    <w:rsid w:val="00B401C8"/>
    <w:rsid w:val="00B5652C"/>
    <w:rsid w:val="00B85350"/>
    <w:rsid w:val="00BC385C"/>
    <w:rsid w:val="00BC7545"/>
    <w:rsid w:val="00C10318"/>
    <w:rsid w:val="00C20C45"/>
    <w:rsid w:val="00C31F41"/>
    <w:rsid w:val="00C63FE5"/>
    <w:rsid w:val="00CA2F33"/>
    <w:rsid w:val="00CA3DAB"/>
    <w:rsid w:val="00CB6239"/>
    <w:rsid w:val="00CD0EFC"/>
    <w:rsid w:val="00D10E68"/>
    <w:rsid w:val="00D1124F"/>
    <w:rsid w:val="00D75619"/>
    <w:rsid w:val="00D80E0F"/>
    <w:rsid w:val="00D85F15"/>
    <w:rsid w:val="00D87803"/>
    <w:rsid w:val="00DB7493"/>
    <w:rsid w:val="00E4338E"/>
    <w:rsid w:val="00E8132B"/>
    <w:rsid w:val="00E9084E"/>
    <w:rsid w:val="00ED0F1C"/>
    <w:rsid w:val="00F07BBB"/>
    <w:rsid w:val="00F360FF"/>
    <w:rsid w:val="00F516E9"/>
    <w:rsid w:val="00F621AB"/>
    <w:rsid w:val="00F96223"/>
    <w:rsid w:val="00FE2D49"/>
    <w:rsid w:val="5BF7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266</Words>
  <Characters>1520</Characters>
  <Lines>12</Lines>
  <Paragraphs>3</Paragraphs>
  <TotalTime>256</TotalTime>
  <ScaleCrop>false</ScaleCrop>
  <LinksUpToDate>false</LinksUpToDate>
  <CharactersWithSpaces>1783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2020-06-22T14:53:00Z</dcterms:created>
  <dc:creator>张晓丹</dc:creator>
  <cp:lastModifiedBy>user</cp:lastModifiedBy>
  <cp:lastPrinted>2020-06-30T14:14:00Z</cp:lastPrinted>
  <dcterms:modified xsi:type="dcterms:W3CDTF">2022-09-08T16:21:45Z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