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C2" w:rsidRPr="00AD02C2" w:rsidRDefault="00AD02C2" w:rsidP="00AD02C2">
      <w:pPr>
        <w:ind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附件6-4</w:t>
      </w:r>
    </w:p>
    <w:tbl>
      <w:tblPr>
        <w:tblW w:w="842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80"/>
        <w:gridCol w:w="1843"/>
        <w:gridCol w:w="2693"/>
        <w:gridCol w:w="2413"/>
      </w:tblGrid>
      <w:tr w:rsidR="00780A68" w:rsidTr="002723B4">
        <w:trPr>
          <w:trHeight w:val="554"/>
          <w:jc w:val="center"/>
        </w:trPr>
        <w:tc>
          <w:tcPr>
            <w:tcW w:w="8429" w:type="dxa"/>
            <w:gridSpan w:val="4"/>
          </w:tcPr>
          <w:p w:rsidR="00780A68" w:rsidRDefault="00780A68" w:rsidP="00B02E25">
            <w:pPr>
              <w:pStyle w:val="2"/>
              <w:rPr>
                <w:rFonts w:ascii="方正小标宋_GBK" w:eastAsia="方正小标宋_GBK"/>
                <w:b w:val="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int="eastAsia"/>
                <w:b w:val="0"/>
                <w:kern w:val="0"/>
                <w:sz w:val="44"/>
                <w:szCs w:val="44"/>
              </w:rPr>
              <w:t>部门整体支出绩效目标完成情况对比表</w:t>
            </w:r>
          </w:p>
        </w:tc>
      </w:tr>
      <w:tr w:rsidR="002C4284" w:rsidRPr="006C745D" w:rsidTr="004A26A7">
        <w:trPr>
          <w:trHeight w:val="293"/>
          <w:jc w:val="center"/>
        </w:trPr>
        <w:tc>
          <w:tcPr>
            <w:tcW w:w="6016" w:type="dxa"/>
            <w:gridSpan w:val="3"/>
            <w:tcBorders>
              <w:bottom w:val="single" w:sz="4" w:space="0" w:color="auto"/>
            </w:tcBorders>
          </w:tcPr>
          <w:p w:rsidR="002C4284" w:rsidRPr="006C745D" w:rsidRDefault="002C4284" w:rsidP="002C4284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left"/>
              <w:rPr>
                <w:rFonts w:ascii="宋体" w:hAnsi="Calibri" w:cs="宋体"/>
                <w:color w:val="000000"/>
                <w:kern w:val="0"/>
                <w:sz w:val="21"/>
                <w:szCs w:val="21"/>
              </w:rPr>
            </w:pPr>
            <w:r w:rsidRPr="006C745D">
              <w:rPr>
                <w:rFonts w:ascii="宋体" w:hAnsi="Calibri" w:cs="宋体" w:hint="eastAsia"/>
                <w:color w:val="000000"/>
                <w:kern w:val="0"/>
                <w:sz w:val="21"/>
                <w:szCs w:val="21"/>
              </w:rPr>
              <w:t>部门名称：</w:t>
            </w:r>
            <w:r w:rsidR="00481B7B">
              <w:rPr>
                <w:rFonts w:ascii="宋体" w:hAnsi="Calibri" w:cs="宋体" w:hint="eastAsia"/>
                <w:color w:val="000000"/>
                <w:kern w:val="0"/>
                <w:sz w:val="21"/>
                <w:szCs w:val="21"/>
              </w:rPr>
              <w:t>北京市海淀区圆明园管理处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2C4284" w:rsidRPr="006C745D" w:rsidRDefault="002C4284" w:rsidP="001F1BB0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Calibri" w:cs="宋体"/>
                <w:color w:val="000000"/>
                <w:kern w:val="0"/>
                <w:sz w:val="21"/>
                <w:szCs w:val="21"/>
              </w:rPr>
            </w:pPr>
            <w:r w:rsidRPr="006C745D">
              <w:rPr>
                <w:rFonts w:ascii="宋体" w:hAnsi="Calibri" w:cs="宋体" w:hint="eastAsia"/>
                <w:color w:val="000000"/>
                <w:kern w:val="0"/>
                <w:sz w:val="21"/>
                <w:szCs w:val="21"/>
              </w:rPr>
              <w:t>年度：</w:t>
            </w:r>
            <w:r w:rsidR="00481B7B">
              <w:rPr>
                <w:rFonts w:ascii="宋体" w:hAnsi="Calibri" w:cs="宋体" w:hint="eastAsia"/>
                <w:color w:val="000000"/>
                <w:kern w:val="0"/>
                <w:sz w:val="21"/>
                <w:szCs w:val="21"/>
              </w:rPr>
              <w:t>2021</w:t>
            </w:r>
            <w:bookmarkStart w:id="0" w:name="_GoBack"/>
            <w:bookmarkEnd w:id="0"/>
          </w:p>
        </w:tc>
      </w:tr>
      <w:tr w:rsidR="00780A68" w:rsidTr="001652D3">
        <w:trPr>
          <w:trHeight w:val="589"/>
          <w:jc w:val="center"/>
        </w:trPr>
        <w:tc>
          <w:tcPr>
            <w:tcW w:w="33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A68" w:rsidRPr="001652D3" w:rsidRDefault="00780A68" w:rsidP="00B02E2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b/>
                <w:color w:val="000000"/>
                <w:kern w:val="0"/>
                <w:sz w:val="21"/>
                <w:szCs w:val="21"/>
              </w:rPr>
            </w:pPr>
            <w:r w:rsidRPr="001652D3">
              <w:rPr>
                <w:rFonts w:ascii="宋体" w:hAnsi="Calibri" w:cs="宋体" w:hint="eastAsia"/>
                <w:b/>
                <w:color w:val="000000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A68" w:rsidRPr="001652D3" w:rsidRDefault="00780A68" w:rsidP="00B02E2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b/>
                <w:color w:val="000000"/>
                <w:kern w:val="0"/>
                <w:sz w:val="21"/>
                <w:szCs w:val="21"/>
              </w:rPr>
            </w:pPr>
            <w:r w:rsidRPr="001652D3">
              <w:rPr>
                <w:rFonts w:ascii="宋体" w:hAnsi="Calibri" w:cs="宋体" w:hint="eastAsia"/>
                <w:b/>
                <w:color w:val="000000"/>
                <w:kern w:val="0"/>
                <w:sz w:val="21"/>
                <w:szCs w:val="21"/>
              </w:rPr>
              <w:t>计划内容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A68" w:rsidRPr="001652D3" w:rsidRDefault="00780A68" w:rsidP="00B02E2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b/>
                <w:color w:val="000000"/>
                <w:kern w:val="0"/>
                <w:sz w:val="21"/>
                <w:szCs w:val="21"/>
              </w:rPr>
            </w:pPr>
            <w:r w:rsidRPr="001652D3">
              <w:rPr>
                <w:rFonts w:ascii="宋体" w:hAnsi="Calibri" w:cs="宋体" w:hint="eastAsia"/>
                <w:b/>
                <w:color w:val="000000"/>
                <w:kern w:val="0"/>
                <w:sz w:val="21"/>
                <w:szCs w:val="21"/>
              </w:rPr>
              <w:t>实际完成情况</w:t>
            </w:r>
          </w:p>
        </w:tc>
      </w:tr>
      <w:tr w:rsidR="004A26A7" w:rsidTr="001652D3">
        <w:trPr>
          <w:trHeight w:val="1541"/>
          <w:jc w:val="center"/>
        </w:trPr>
        <w:tc>
          <w:tcPr>
            <w:tcW w:w="33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26A7" w:rsidRPr="001652D3" w:rsidRDefault="004A26A7" w:rsidP="00B02E2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b/>
                <w:color w:val="000000"/>
                <w:kern w:val="0"/>
                <w:sz w:val="21"/>
                <w:szCs w:val="21"/>
              </w:rPr>
            </w:pPr>
            <w:r w:rsidRPr="001652D3">
              <w:rPr>
                <w:rFonts w:ascii="宋体" w:hAnsi="Calibri" w:cs="宋体" w:hint="eastAsia"/>
                <w:b/>
                <w:color w:val="000000"/>
                <w:kern w:val="0"/>
                <w:sz w:val="21"/>
                <w:szCs w:val="21"/>
              </w:rPr>
              <w:t>部门（单位）绩效目标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7B" w:rsidRPr="00E23FC8" w:rsidRDefault="00481B7B" w:rsidP="00481B7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21"/>
                <w:szCs w:val="21"/>
              </w:rPr>
            </w:pPr>
            <w:r w:rsidRPr="00E23FC8">
              <w:rPr>
                <w:rFonts w:ascii="宋体" w:hAnsi="Calibri" w:cs="宋体" w:hint="eastAsia"/>
                <w:color w:val="000000"/>
                <w:kern w:val="0"/>
                <w:sz w:val="21"/>
                <w:szCs w:val="21"/>
              </w:rPr>
              <w:t>推进圆明园规划设计院建设</w:t>
            </w:r>
            <w:r>
              <w:rPr>
                <w:rFonts w:ascii="宋体" w:hAnsi="Calibri" w:cs="宋体" w:hint="eastAsia"/>
                <w:color w:val="000000"/>
                <w:kern w:val="0"/>
                <w:sz w:val="21"/>
                <w:szCs w:val="21"/>
              </w:rPr>
              <w:t>、</w:t>
            </w:r>
            <w:r w:rsidRPr="00E23FC8">
              <w:rPr>
                <w:rFonts w:ascii="宋体" w:hAnsi="Calibri" w:cs="宋体" w:hint="eastAsia"/>
                <w:color w:val="000000"/>
                <w:kern w:val="0"/>
                <w:sz w:val="21"/>
                <w:szCs w:val="21"/>
              </w:rPr>
              <w:t>，打造青少年考古实践基地</w:t>
            </w:r>
            <w:r>
              <w:rPr>
                <w:rFonts w:ascii="宋体" w:hAnsi="Calibri" w:cs="宋体" w:hint="eastAsia"/>
                <w:color w:val="000000"/>
                <w:kern w:val="0"/>
                <w:sz w:val="21"/>
                <w:szCs w:val="21"/>
              </w:rPr>
              <w:t>、</w:t>
            </w:r>
            <w:r w:rsidRPr="00E23FC8">
              <w:rPr>
                <w:rFonts w:ascii="宋体" w:hAnsi="Calibri" w:cs="宋体" w:hint="eastAsia"/>
                <w:color w:val="000000"/>
                <w:kern w:val="0"/>
                <w:sz w:val="21"/>
                <w:szCs w:val="21"/>
              </w:rPr>
              <w:t>推动圆明园爱国主义教育、红色旅游与</w:t>
            </w:r>
          </w:p>
          <w:p w:rsidR="004A26A7" w:rsidRPr="002C4284" w:rsidRDefault="00481B7B" w:rsidP="00481B7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21"/>
                <w:szCs w:val="21"/>
              </w:rPr>
            </w:pPr>
            <w:r w:rsidRPr="00E23FC8">
              <w:rPr>
                <w:rFonts w:ascii="宋体" w:hAnsi="Calibri" w:cs="宋体" w:hint="eastAsia"/>
                <w:color w:val="000000"/>
                <w:kern w:val="0"/>
                <w:sz w:val="21"/>
                <w:szCs w:val="21"/>
              </w:rPr>
              <w:t>网络传播有机结合</w:t>
            </w:r>
            <w:r>
              <w:rPr>
                <w:rFonts w:ascii="宋体" w:hAnsi="Calibri" w:cs="宋体" w:hint="eastAsia"/>
                <w:color w:val="000000"/>
                <w:kern w:val="0"/>
                <w:sz w:val="21"/>
                <w:szCs w:val="21"/>
              </w:rPr>
              <w:t>、</w:t>
            </w:r>
            <w:r w:rsidRPr="00E23FC8">
              <w:rPr>
                <w:rFonts w:ascii="宋体" w:hAnsi="Calibri" w:cs="宋体" w:hint="eastAsia"/>
                <w:color w:val="000000"/>
                <w:kern w:val="0"/>
                <w:sz w:val="21"/>
                <w:szCs w:val="21"/>
              </w:rPr>
              <w:t>激励担当锤炼队伍</w:t>
            </w:r>
            <w:r>
              <w:rPr>
                <w:rFonts w:ascii="宋体" w:hAnsi="Calibri" w:cs="宋体" w:hint="eastAsia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6A7" w:rsidRPr="002C4284" w:rsidRDefault="00481B7B" w:rsidP="00B02E2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1"/>
                <w:szCs w:val="21"/>
              </w:rPr>
              <w:t>完成</w:t>
            </w:r>
          </w:p>
        </w:tc>
      </w:tr>
      <w:tr w:rsidR="004A26A7" w:rsidTr="001652D3">
        <w:trPr>
          <w:trHeight w:val="544"/>
          <w:jc w:val="center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26A7" w:rsidRPr="001652D3" w:rsidRDefault="004A26A7" w:rsidP="00B02E2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b/>
                <w:color w:val="000000"/>
                <w:kern w:val="0"/>
                <w:sz w:val="21"/>
                <w:szCs w:val="21"/>
              </w:rPr>
            </w:pPr>
            <w:r w:rsidRPr="001652D3">
              <w:rPr>
                <w:rFonts w:ascii="宋体" w:hAnsi="Calibri" w:cs="宋体" w:hint="eastAsia"/>
                <w:b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A7" w:rsidRPr="001652D3" w:rsidRDefault="004A26A7" w:rsidP="00B02E2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b/>
                <w:color w:val="000000"/>
                <w:kern w:val="0"/>
                <w:sz w:val="21"/>
                <w:szCs w:val="21"/>
              </w:rPr>
            </w:pPr>
            <w:r w:rsidRPr="001652D3">
              <w:rPr>
                <w:rFonts w:ascii="宋体" w:hAnsi="Calibri" w:cs="宋体" w:hint="eastAsia"/>
                <w:b/>
                <w:color w:val="000000"/>
                <w:kern w:val="0"/>
                <w:sz w:val="21"/>
                <w:szCs w:val="21"/>
              </w:rPr>
              <w:t>指标名称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6A7" w:rsidRPr="001652D3" w:rsidRDefault="004A26A7" w:rsidP="00B02E2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b/>
                <w:color w:val="000000"/>
                <w:kern w:val="0"/>
                <w:sz w:val="21"/>
                <w:szCs w:val="21"/>
              </w:rPr>
            </w:pPr>
            <w:r w:rsidRPr="001652D3">
              <w:rPr>
                <w:rFonts w:ascii="宋体" w:hAnsi="Calibri" w:cs="宋体" w:hint="eastAsia"/>
                <w:b/>
                <w:color w:val="000000"/>
                <w:kern w:val="0"/>
                <w:sz w:val="21"/>
                <w:szCs w:val="21"/>
              </w:rPr>
              <w:t>指标内容和指标值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26A7" w:rsidRPr="001652D3" w:rsidRDefault="004A26A7" w:rsidP="00B02E2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b/>
                <w:color w:val="000000"/>
                <w:kern w:val="0"/>
                <w:sz w:val="21"/>
                <w:szCs w:val="21"/>
              </w:rPr>
            </w:pPr>
            <w:r w:rsidRPr="001652D3">
              <w:rPr>
                <w:rFonts w:ascii="宋体" w:hAnsi="Calibri" w:cs="宋体" w:hint="eastAsia"/>
                <w:b/>
                <w:color w:val="000000"/>
                <w:kern w:val="0"/>
                <w:sz w:val="21"/>
                <w:szCs w:val="21"/>
              </w:rPr>
              <w:t>已落实情况</w:t>
            </w:r>
          </w:p>
        </w:tc>
      </w:tr>
      <w:tr w:rsidR="00481B7B" w:rsidTr="001652D3">
        <w:trPr>
          <w:trHeight w:val="1134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B7B" w:rsidRPr="002C4284" w:rsidRDefault="00481B7B" w:rsidP="00B02E2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7B" w:rsidRPr="002C4284" w:rsidRDefault="00481B7B" w:rsidP="00037FC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21"/>
                <w:szCs w:val="21"/>
              </w:rPr>
            </w:pPr>
            <w:r w:rsidRPr="00577EDE">
              <w:rPr>
                <w:rFonts w:ascii="宋体" w:hAnsi="宋体" w:cs="宋体" w:hint="eastAsia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7B" w:rsidRPr="002C4284" w:rsidRDefault="00481B7B" w:rsidP="00037FC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21"/>
                <w:szCs w:val="21"/>
              </w:rPr>
            </w:pPr>
            <w:r w:rsidRPr="00577EDE">
              <w:rPr>
                <w:rFonts w:ascii="宋体" w:hAnsi="宋体" w:cs="宋体" w:hint="eastAsia"/>
                <w:kern w:val="0"/>
                <w:sz w:val="20"/>
                <w:szCs w:val="20"/>
              </w:rPr>
              <w:t>保障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1847</w:t>
            </w:r>
            <w:r w:rsidRPr="00577EDE">
              <w:rPr>
                <w:rFonts w:ascii="宋体" w:hAnsi="宋体" w:cs="宋体" w:hint="eastAsia"/>
                <w:noProof/>
                <w:kern w:val="0"/>
                <w:sz w:val="20"/>
                <w:szCs w:val="20"/>
              </w:rPr>
              <w:t>名</w:t>
            </w:r>
            <w:r w:rsidRPr="00577EDE">
              <w:rPr>
                <w:rFonts w:ascii="宋体" w:hAnsi="宋体" w:cs="宋体" w:hint="eastAsia"/>
                <w:kern w:val="0"/>
                <w:sz w:val="20"/>
                <w:szCs w:val="20"/>
              </w:rPr>
              <w:t>在职人员、离退休人员的正常办公、生活秩序。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7B" w:rsidRPr="002C4284" w:rsidRDefault="00481B7B" w:rsidP="00037FC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1"/>
                <w:szCs w:val="21"/>
              </w:rPr>
              <w:t>已落实</w:t>
            </w:r>
          </w:p>
        </w:tc>
      </w:tr>
      <w:tr w:rsidR="00481B7B" w:rsidTr="001652D3">
        <w:trPr>
          <w:trHeight w:val="1134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B7B" w:rsidRDefault="00481B7B" w:rsidP="00B02E2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7B" w:rsidRDefault="00481B7B" w:rsidP="00037FC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 w:rsidRPr="00E23FC8">
              <w:rPr>
                <w:rFonts w:ascii="宋体" w:hAnsi="Calibri" w:cs="宋体" w:hint="eastAsia"/>
                <w:color w:val="000000"/>
                <w:kern w:val="0"/>
                <w:sz w:val="21"/>
                <w:szCs w:val="21"/>
              </w:rPr>
              <w:t>强化遗址文物保护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7B" w:rsidRDefault="00481B7B" w:rsidP="00037FC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</w:pPr>
            <w:r w:rsidRPr="00E23FC8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推进大宫门遗址区保护展示工程</w:t>
            </w:r>
            <w:r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481B7B" w:rsidRDefault="00481B7B" w:rsidP="00481B7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 w:rsidRPr="00E23FC8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方案核准；</w:t>
            </w:r>
            <w:proofErr w:type="gramStart"/>
            <w:r w:rsidRPr="00E23FC8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实施线法桥</w:t>
            </w:r>
            <w:proofErr w:type="gramEnd"/>
            <w:r w:rsidRPr="00E23FC8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抢险加固，研究水中浸泡基址整理计划；上报文源阁、紫碧山房保护展示方案，争取国家文物局批复立项；组织编制如园、舍卫城、福海周边遗址保护展示与海晏堂蓄水楼加固保护工程（二期）方案；编制</w:t>
            </w:r>
            <w:proofErr w:type="gramStart"/>
            <w:r w:rsidRPr="00E23FC8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春熙院山形</w:t>
            </w:r>
            <w:proofErr w:type="gramEnd"/>
            <w:r w:rsidRPr="00E23FC8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水系恢复规划方案，推动</w:t>
            </w:r>
            <w:proofErr w:type="gramStart"/>
            <w:r w:rsidRPr="00E23FC8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第五园</w:t>
            </w:r>
            <w:proofErr w:type="gramEnd"/>
            <w:r w:rsidRPr="00E23FC8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回归，规划西水磨、一亩园、</w:t>
            </w:r>
            <w:proofErr w:type="gramStart"/>
            <w:r w:rsidRPr="00E23FC8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福缘门等</w:t>
            </w:r>
            <w:proofErr w:type="gramEnd"/>
            <w:r w:rsidRPr="00E23FC8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 xml:space="preserve">遗址回归后的保护方案；编制《圆明园十四五规划》和《遗址保护管理规划》；加快自主编制保护展示方案5 </w:t>
            </w:r>
            <w:proofErr w:type="gramStart"/>
            <w:r w:rsidRPr="00E23FC8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E23FC8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，推进圆明园规划设计院建设。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7B" w:rsidRDefault="00481B7B" w:rsidP="00037FC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1"/>
                <w:szCs w:val="21"/>
              </w:rPr>
              <w:t>已落实</w:t>
            </w:r>
          </w:p>
        </w:tc>
      </w:tr>
      <w:tr w:rsidR="00481B7B" w:rsidTr="001652D3">
        <w:trPr>
          <w:trHeight w:val="1134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B7B" w:rsidRDefault="00481B7B" w:rsidP="00B02E2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7B" w:rsidRDefault="00481B7B" w:rsidP="00037FC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 w:rsidRPr="0030735B">
              <w:rPr>
                <w:rFonts w:ascii="宋体" w:hAnsi="Calibri" w:cs="宋体" w:hint="eastAsia"/>
                <w:color w:val="000000"/>
                <w:kern w:val="0"/>
                <w:sz w:val="21"/>
                <w:szCs w:val="21"/>
              </w:rPr>
              <w:t>深挖文化内涵与传达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7B" w:rsidRDefault="00481B7B" w:rsidP="00481B7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 w:rsidRPr="0030735B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举办“我和我的祖国”系列主题活动，依托</w:t>
            </w:r>
            <w:proofErr w:type="gramStart"/>
            <w:r w:rsidRPr="0030735B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春泽斋等</w:t>
            </w:r>
            <w:proofErr w:type="gramEnd"/>
            <w:r w:rsidRPr="0030735B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景点，组织精品爱国展；提升大水法、三一八烈士墓等</w:t>
            </w:r>
            <w:proofErr w:type="gramStart"/>
            <w:r w:rsidRPr="0030735B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爱国点</w:t>
            </w:r>
            <w:proofErr w:type="gramEnd"/>
            <w:r w:rsidRPr="0030735B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位教育品质，把三一八烈士墓打造为区级革命烈士陵园，开展曾宪梓纪念日活动，与中央党校联合进行领导干部爱国教育；设立“圆明园爱国者”奖学金，建立师资库，聚焦青少年，编制精品课程，出版儿童读物、教辅读物，组</w:t>
            </w:r>
            <w:r w:rsidRPr="0030735B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lastRenderedPageBreak/>
              <w:t>织读书会活动，推动爱国主义教育进校园；建构集教学、考古、游园、活动为一体的爱国主义教育空间，打造青少年爱国主义教育实践基地；实施爱国主义数字建设工程，推动圆明园爱国主义教育、红色旅游与网络传播有机结合。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7B" w:rsidRDefault="00481B7B" w:rsidP="00037FC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1"/>
                <w:szCs w:val="21"/>
              </w:rPr>
              <w:lastRenderedPageBreak/>
              <w:t>已落实</w:t>
            </w:r>
          </w:p>
        </w:tc>
      </w:tr>
      <w:tr w:rsidR="00481B7B" w:rsidTr="001652D3">
        <w:trPr>
          <w:trHeight w:val="1134"/>
          <w:jc w:val="center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1B7B" w:rsidRDefault="00481B7B" w:rsidP="00B02E2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7B" w:rsidRDefault="00481B7B" w:rsidP="00037FC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 w:rsidRPr="0030735B">
              <w:rPr>
                <w:rFonts w:ascii="宋体" w:hAnsi="Calibri" w:cs="宋体" w:hint="eastAsia"/>
                <w:color w:val="000000"/>
                <w:kern w:val="0"/>
                <w:sz w:val="21"/>
                <w:szCs w:val="21"/>
              </w:rPr>
              <w:t>狠抓环境提档升级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7B" w:rsidRPr="0030735B" w:rsidRDefault="00481B7B" w:rsidP="00037FC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 w:rsidRPr="0030735B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编制</w:t>
            </w:r>
            <w:proofErr w:type="gramStart"/>
            <w:r w:rsidRPr="0030735B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《</w:t>
            </w:r>
            <w:proofErr w:type="gramEnd"/>
            <w:r w:rsidRPr="0030735B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圆明园5A 景区提升改造</w:t>
            </w:r>
            <w:proofErr w:type="gramStart"/>
            <w:r w:rsidRPr="0030735B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规</w:t>
            </w:r>
            <w:proofErr w:type="gramEnd"/>
          </w:p>
          <w:p w:rsidR="00481B7B" w:rsidRDefault="00481B7B" w:rsidP="00481B7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 w:rsidRPr="0030735B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划</w:t>
            </w:r>
            <w:proofErr w:type="gramStart"/>
            <w:r w:rsidRPr="0030735B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》</w:t>
            </w:r>
            <w:proofErr w:type="gramEnd"/>
            <w:r w:rsidRPr="0030735B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，持续改进座椅、路灯、路桥、码头、停车场、监控等设施设备品质，增加无障碍设施，推进全园亮化；改造保洁人员及绿化工具用房，疏通全园污水管道主干线，试点打造具有皇家氛围的3A 级卫生间；建立经营收费、语音自助讲解系统；整合运营、商业、游客等信息部署到大数据平台，提升全园数字化水平；完成</w:t>
            </w:r>
            <w:proofErr w:type="gramStart"/>
            <w:r w:rsidRPr="0030735B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交通船油改</w:t>
            </w:r>
            <w:proofErr w:type="gramEnd"/>
            <w:r w:rsidRPr="0030735B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电，增加售卖</w:t>
            </w:r>
            <w:proofErr w:type="gramStart"/>
            <w:r w:rsidRPr="0030735B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点丰富</w:t>
            </w:r>
            <w:proofErr w:type="gramEnd"/>
            <w:r w:rsidRPr="0030735B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售卖品种，清零彩钢板，盘活闲置房屋；加强5A 景区信息化建设，推广OA 办公系统；推出四十景等精品游线。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7B" w:rsidRDefault="00481B7B" w:rsidP="00037FC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1"/>
                <w:szCs w:val="21"/>
              </w:rPr>
              <w:t>已落实</w:t>
            </w:r>
          </w:p>
        </w:tc>
      </w:tr>
      <w:tr w:rsidR="00481B7B" w:rsidTr="001652D3">
        <w:trPr>
          <w:trHeight w:val="1134"/>
          <w:jc w:val="center"/>
        </w:trPr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7B" w:rsidRDefault="00481B7B" w:rsidP="00B02E2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7B" w:rsidRPr="0030735B" w:rsidRDefault="00481B7B" w:rsidP="00037FC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21"/>
                <w:szCs w:val="21"/>
              </w:rPr>
            </w:pPr>
            <w:r w:rsidRPr="0030735B">
              <w:rPr>
                <w:rFonts w:ascii="宋体" w:hAnsi="Calibri" w:cs="宋体" w:hint="eastAsia"/>
                <w:color w:val="000000"/>
                <w:kern w:val="0"/>
                <w:sz w:val="21"/>
                <w:szCs w:val="21"/>
              </w:rPr>
              <w:t>全面筑牢发展根基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7B" w:rsidRPr="0030735B" w:rsidRDefault="00481B7B" w:rsidP="00481B7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 w:rsidRPr="0030735B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全面落实新时代党的建设总要求，以党的政治建设为统领，全面推进党建各项工作，不断加强和改善党</w:t>
            </w:r>
          </w:p>
          <w:p w:rsidR="00481B7B" w:rsidRPr="0030735B" w:rsidRDefault="00481B7B" w:rsidP="00481B7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 w:rsidRPr="0030735B"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的全面领导，推动全面从严治党向纵深发展；以庆祝中国共产党成立100 周年为主线，以开展党史学习教育为重点，引导全体党员干部职工坚定不移听党话、矢志不渝跟党走；有序推进支部规范建设，严格党员教育管理监督；扎实开展庆祝建党100 周年有关活动；按照中央、市委、区委统一部署，配合区有关部门做好“两优一先”评选表彰、颁发“光荣在党50 年”纪念章等工作；七一前后开展全园“两优一先”评选表彰、举办重温入党誓词、给党员过“政治生日”、“我的入党故事”征文、摄影及微视频作品征集、参观红色主题展览等活动；严格按程序完成任期届满党支部换届选举工作，选好配强党支部书记和党务干部。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B7B" w:rsidRDefault="00481B7B" w:rsidP="00037FCB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已落实</w:t>
            </w:r>
          </w:p>
        </w:tc>
      </w:tr>
      <w:tr w:rsidR="00481B7B" w:rsidTr="001652D3">
        <w:trPr>
          <w:trHeight w:val="89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B7B" w:rsidRPr="001652D3" w:rsidRDefault="00481B7B" w:rsidP="00B02E2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b/>
                <w:color w:val="000000"/>
                <w:kern w:val="0"/>
                <w:sz w:val="21"/>
                <w:szCs w:val="21"/>
              </w:rPr>
            </w:pPr>
            <w:r w:rsidRPr="001652D3">
              <w:rPr>
                <w:rFonts w:ascii="宋体" w:hAnsi="Calibri" w:cs="宋体" w:hint="eastAsia"/>
                <w:b/>
                <w:color w:val="000000"/>
                <w:kern w:val="0"/>
                <w:sz w:val="21"/>
                <w:szCs w:val="21"/>
              </w:rPr>
              <w:lastRenderedPageBreak/>
              <w:t>其他说明的</w:t>
            </w:r>
          </w:p>
          <w:p w:rsidR="00481B7B" w:rsidRPr="006C745D" w:rsidRDefault="00481B7B" w:rsidP="00B02E2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21"/>
                <w:szCs w:val="21"/>
              </w:rPr>
            </w:pPr>
            <w:r w:rsidRPr="001652D3">
              <w:rPr>
                <w:rFonts w:ascii="宋体" w:hAnsi="Calibri" w:cs="宋体" w:hint="eastAsia"/>
                <w:b/>
                <w:color w:val="000000"/>
                <w:kern w:val="0"/>
                <w:sz w:val="21"/>
                <w:szCs w:val="21"/>
              </w:rPr>
              <w:t>问题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1B7B" w:rsidRDefault="00481B7B" w:rsidP="00B02E2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rFonts w:ascii="宋体" w:hAnsi="Calibri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</w:tbl>
    <w:p w:rsidR="00DF1285" w:rsidRDefault="00DF1285" w:rsidP="00E7281D">
      <w:pPr>
        <w:ind w:firstLineChars="0" w:firstLine="0"/>
      </w:pPr>
    </w:p>
    <w:p w:rsidR="00DF1285" w:rsidRDefault="00DF1285" w:rsidP="00DF1285">
      <w:pPr>
        <w:ind w:firstLine="480"/>
      </w:pPr>
      <w:r>
        <w:br w:type="page"/>
      </w:r>
    </w:p>
    <w:p w:rsidR="00DF1285" w:rsidRDefault="00DF1285" w:rsidP="00DF1285">
      <w:pPr>
        <w:ind w:firstLineChars="45" w:firstLine="198"/>
        <w:jc w:val="center"/>
        <w:rPr>
          <w:rFonts w:ascii="方正小标宋_GBK" w:eastAsia="方正小标宋_GBK"/>
          <w:kern w:val="0"/>
          <w:sz w:val="44"/>
          <w:szCs w:val="44"/>
        </w:rPr>
      </w:pPr>
      <w:r>
        <w:rPr>
          <w:rFonts w:ascii="方正小标宋_GBK" w:eastAsia="方正小标宋_GBK" w:hint="eastAsia"/>
          <w:kern w:val="0"/>
          <w:sz w:val="44"/>
          <w:szCs w:val="44"/>
        </w:rPr>
        <w:lastRenderedPageBreak/>
        <w:t>部门整体支出指标体系及评分情况表</w:t>
      </w:r>
    </w:p>
    <w:p w:rsidR="00DF1285" w:rsidRDefault="00DF1285" w:rsidP="00DF1285">
      <w:pPr>
        <w:ind w:firstLine="420"/>
      </w:pPr>
      <w:r>
        <w:rPr>
          <w:rFonts w:ascii="宋体" w:hAnsi="宋体" w:cs="宋体" w:hint="eastAsia"/>
          <w:bCs/>
          <w:kern w:val="0"/>
          <w:sz w:val="21"/>
          <w:szCs w:val="21"/>
        </w:rPr>
        <w:t xml:space="preserve">部门名称：                                                                                                </w:t>
      </w:r>
    </w:p>
    <w:tbl>
      <w:tblPr>
        <w:tblW w:w="239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276"/>
        <w:gridCol w:w="1134"/>
        <w:gridCol w:w="851"/>
        <w:gridCol w:w="3402"/>
        <w:gridCol w:w="1134"/>
        <w:gridCol w:w="9638"/>
        <w:gridCol w:w="5386"/>
      </w:tblGrid>
      <w:tr w:rsidR="00DF1285" w:rsidRPr="001F1BB0" w:rsidTr="002E0B96">
        <w:trPr>
          <w:gridAfter w:val="2"/>
          <w:wAfter w:w="15024" w:type="dxa"/>
          <w:trHeight w:val="4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分值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指标解释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自评得分</w:t>
            </w:r>
          </w:p>
        </w:tc>
      </w:tr>
      <w:tr w:rsidR="00DF1285" w:rsidRPr="001F1BB0" w:rsidTr="002E0B96">
        <w:trPr>
          <w:gridAfter w:val="2"/>
          <w:wAfter w:w="15024" w:type="dxa"/>
          <w:trHeight w:val="454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部门履职</w:t>
            </w: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（15分）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目标设定</w:t>
            </w: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（6分）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目标编制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FD25BF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FD25BF">
              <w:rPr>
                <w:rFonts w:ascii="宋体" w:hAnsi="宋体" w:cs="宋体" w:hint="eastAsia"/>
                <w:kern w:val="0"/>
                <w:sz w:val="21"/>
                <w:szCs w:val="21"/>
              </w:rPr>
              <w:t>部门（单位）设立整体绩效目标的依据是否充分，用以反映和考核部门整体绩效目标与部门履职的相符性情况。部门（单位）所设立的整体和项目绩效目标是否符合客观实际，是否清晰、细化、可衡量，用以反映和考核部门（单位）整体绩效目标与年度工作任务的相符性情况和</w:t>
            </w:r>
            <w:proofErr w:type="gramStart"/>
            <w:r w:rsidRPr="00FD25BF">
              <w:rPr>
                <w:rFonts w:ascii="宋体" w:hAnsi="宋体" w:cs="宋体" w:hint="eastAsia"/>
                <w:kern w:val="0"/>
                <w:sz w:val="21"/>
                <w:szCs w:val="21"/>
              </w:rPr>
              <w:t>明细化</w:t>
            </w:r>
            <w:proofErr w:type="gramEnd"/>
            <w:r w:rsidRPr="00FD25BF">
              <w:rPr>
                <w:rFonts w:ascii="宋体" w:hAnsi="宋体" w:cs="宋体" w:hint="eastAsia"/>
                <w:kern w:val="0"/>
                <w:sz w:val="21"/>
                <w:szCs w:val="21"/>
              </w:rPr>
              <w:t>情况。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F1285" w:rsidRPr="001F1BB0" w:rsidTr="002E0B96">
        <w:trPr>
          <w:gridAfter w:val="2"/>
          <w:wAfter w:w="15024" w:type="dxa"/>
          <w:trHeight w:val="45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目标覆盖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FD25B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2020年100万以上项目全覆盖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F1285" w:rsidRPr="001F1BB0" w:rsidTr="002E0B96">
        <w:trPr>
          <w:gridAfter w:val="2"/>
          <w:wAfter w:w="15024" w:type="dxa"/>
          <w:trHeight w:val="45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决策过程</w:t>
            </w: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（3分）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决策程序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C1148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部门（单位）决策程序是否明确规范，决策依据是否充分，决策风险是否可控，决策责任是否可追溯，用以反映决策程序的有效性。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F1285" w:rsidRPr="001F1BB0" w:rsidTr="002E0B96">
        <w:trPr>
          <w:gridAfter w:val="2"/>
          <w:wAfter w:w="15024" w:type="dxa"/>
          <w:trHeight w:val="45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资金分配</w:t>
            </w: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（6分）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分配合理性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C1148E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部门（单位）预算编制、分配依据是否充分；与绩效目标一致性、分配结果合理性。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F1285" w:rsidRPr="001F1BB0" w:rsidTr="002E0B96">
        <w:trPr>
          <w:gridAfter w:val="2"/>
          <w:wAfter w:w="15024" w:type="dxa"/>
          <w:trHeight w:val="45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重点支出保障率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9C159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部门（单位）本年度重点项目支出与部门项目总支出的比重，用以反映和考核部门（单位）对履行主要职责或完成重点任务的保障程度。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F1285" w:rsidRPr="001F1BB0" w:rsidTr="002E0B96">
        <w:trPr>
          <w:gridAfter w:val="2"/>
          <w:wAfter w:w="15024" w:type="dxa"/>
          <w:trHeight w:val="454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部门管理</w:t>
            </w: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（40分）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预算执行</w:t>
            </w: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（12分）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支出预算执行率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270261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部门（单位）本年度支出预算执行数与财政预算下达数的比率，用以反映和考核部门（单位）预算支出完成程度。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F1285" w:rsidRPr="001F1BB0" w:rsidTr="002E0B96">
        <w:trPr>
          <w:gridAfter w:val="2"/>
          <w:wAfter w:w="15024" w:type="dxa"/>
          <w:trHeight w:val="45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支出预算调整率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4619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部门（单位）本年度支出预算调整数与支出预算数的比率，用以反映和考核部门（单位）预算支出的调整程度。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F1285" w:rsidRPr="001F1BB0" w:rsidTr="002E0B96">
        <w:trPr>
          <w:gridAfter w:val="2"/>
          <w:wAfter w:w="15024" w:type="dxa"/>
          <w:trHeight w:val="45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结转结余率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4619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部门（单位）本年度结转结余总额与支出预算数的比率，用以反映和考核部门（单位）对结转结余资金的实际控制程度。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F1285" w:rsidRPr="001F1BB0" w:rsidTr="002E0B96">
        <w:trPr>
          <w:gridAfter w:val="2"/>
          <w:wAfter w:w="15024" w:type="dxa"/>
          <w:trHeight w:val="45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结转结余变动率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4619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部门（单位）本年度结转结余资金总额与上年度结转结余资金总额的变动比率，用以反映和考核部门（单位）对控制结转结余资金的努力程度。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F1285" w:rsidRPr="001F1BB0" w:rsidTr="002E0B96">
        <w:trPr>
          <w:gridAfter w:val="2"/>
          <w:wAfter w:w="15024" w:type="dxa"/>
          <w:trHeight w:val="45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政府采购执行率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4619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部门（单位）本年度实际政府采购金额与年初政府采购预算的比率，用以反映和考核部门（单位）政府采购预算执行情况。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F1285" w:rsidRPr="001F1BB0" w:rsidTr="002E0B96">
        <w:trPr>
          <w:gridAfter w:val="2"/>
          <w:wAfter w:w="15024" w:type="dxa"/>
          <w:trHeight w:val="45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预算管理</w:t>
            </w: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（15分）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管理制度健全性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4619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部门（单位）为加强预算绩效管理、规范财务行为而制定的管理制度是否健全完整，用以反映和考核部门（单位）预算绩效管理制度对完成主要职责或促进事业发展的保障情况。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F1285" w:rsidRPr="001F1BB0" w:rsidTr="002E0B96">
        <w:trPr>
          <w:gridAfter w:val="2"/>
          <w:wAfter w:w="15024" w:type="dxa"/>
          <w:trHeight w:val="45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资金使用合</w:t>
            </w:r>
            <w:proofErr w:type="gramStart"/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规</w:t>
            </w:r>
            <w:proofErr w:type="gramEnd"/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性和安全性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4619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部门（单位）使用预算资金是否符合相关的预算财务管理制度的规定，是否符合相关规定的开支范围，用以反映考核部门（单位）预算资金的规范运行和安全运行情况。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F1285" w:rsidRPr="001F1BB0" w:rsidTr="002E0B96">
        <w:trPr>
          <w:gridAfter w:val="2"/>
          <w:wAfter w:w="15024" w:type="dxa"/>
          <w:trHeight w:val="45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三</w:t>
            </w:r>
            <w:proofErr w:type="gramStart"/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公经费</w:t>
            </w:r>
            <w:proofErr w:type="gramEnd"/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控制情况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752E04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部门公务接待、公务用车、公款出国费用的控制情况是否符合财政部</w:t>
            </w:r>
            <w:proofErr w:type="gramStart"/>
            <w:r w:rsidRPr="00752E04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门当年</w:t>
            </w:r>
            <w:proofErr w:type="gramEnd"/>
            <w:r w:rsidRPr="00752E04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的预算要求和相关管理制度要求。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F1285" w:rsidRPr="001F1BB0" w:rsidTr="002E0B96">
        <w:trPr>
          <w:gridAfter w:val="2"/>
          <w:wAfter w:w="15024" w:type="dxa"/>
          <w:trHeight w:val="45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预算信息公开性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752E04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752E04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部门（单位）是否按照政府信息公开有关规定公开相关预算信息，用以考核部门（单位）预算管理的公开透明情况。</w:t>
            </w:r>
          </w:p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752E04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预算信息是指与部门预算、执行、监督、绩效等管理相关的信息。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F1285" w:rsidRPr="001F1BB0" w:rsidTr="002E0B96">
        <w:trPr>
          <w:gridAfter w:val="2"/>
          <w:wAfter w:w="15024" w:type="dxa"/>
          <w:trHeight w:val="45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基础信息完善性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752E04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部门（单位）基础信息是否完善，用以反映和考核基础信息对预算管理工作的支撑情况。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F1285" w:rsidRPr="001F1BB0" w:rsidTr="002E0B96">
        <w:trPr>
          <w:gridAfter w:val="2"/>
          <w:wAfter w:w="15024" w:type="dxa"/>
          <w:trHeight w:val="45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绩效管理</w:t>
            </w: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（8分）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组织机构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752E04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部门（单位）对绩效管理相关组织机构的设立情况。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F1285" w:rsidRPr="001F1BB0" w:rsidTr="002E0B96">
        <w:trPr>
          <w:gridAfter w:val="2"/>
          <w:wAfter w:w="15024" w:type="dxa"/>
          <w:trHeight w:val="45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绩效信息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A0185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部门（单位）在绩效管理信息的收集、汇总和上报情况。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F1285" w:rsidRPr="00B1479B" w:rsidTr="002E0B96">
        <w:trPr>
          <w:gridAfter w:val="2"/>
          <w:wAfter w:w="15024" w:type="dxa"/>
          <w:trHeight w:val="45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资产管理</w:t>
            </w: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（5分）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资产管理规范性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E82DBC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部门（单位）的资产是否保持安全完整，资产配置是否合理，资产使用和资产处理是否规范，用以反映和考核部门（单位）资产管理的整体水平。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F1285" w:rsidRPr="001F1BB0" w:rsidTr="002E0B96">
        <w:trPr>
          <w:gridAfter w:val="2"/>
          <w:wAfter w:w="15024" w:type="dxa"/>
          <w:trHeight w:val="45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固定资产利用率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2C60B1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部门（单位）固定资产使用效率程度。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F1285" w:rsidRPr="001F1BB0" w:rsidTr="002E0B96">
        <w:trPr>
          <w:gridAfter w:val="2"/>
          <w:wAfter w:w="15024" w:type="dxa"/>
          <w:trHeight w:val="454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部门绩效</w:t>
            </w: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（45分）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履职产出</w:t>
            </w: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（25分）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各职能单元产出完成情况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2C60B1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部门（单位）各项职能单元（工作）产出数量是否达到绩效目标或相关行业指标。根据部门（单位）实际工作情况进行设置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F1285" w:rsidRPr="001F1BB0" w:rsidTr="002E0B96">
        <w:trPr>
          <w:gridAfter w:val="2"/>
          <w:wAfter w:w="15024" w:type="dxa"/>
          <w:trHeight w:val="45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履职效果</w:t>
            </w: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br/>
              <w:t>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职能实现效果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2C60B1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部门（单位）相关工作在某些方面所产生的效果。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F1285" w:rsidRPr="001F1BB0" w:rsidTr="002E0B96">
        <w:trPr>
          <w:gridAfter w:val="2"/>
          <w:wAfter w:w="15024" w:type="dxa"/>
          <w:trHeight w:val="454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服务对象满意度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2C60B1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部门（单位）的服务对象对部门履职效果的满意程度。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DF1285" w:rsidRPr="001F1BB0" w:rsidTr="002E0B96">
        <w:trPr>
          <w:trHeight w:val="454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1F1BB0">
              <w:rPr>
                <w:rFonts w:ascii="宋体" w:hAnsi="宋体" w:cs="宋体" w:hint="eastAsia"/>
                <w:kern w:val="0"/>
                <w:sz w:val="21"/>
                <w:szCs w:val="21"/>
              </w:rPr>
              <w:t>合计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285" w:rsidRPr="001F1BB0" w:rsidRDefault="00DF1285" w:rsidP="002E0B96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:rsidR="00DF1285" w:rsidRPr="001F1BB0" w:rsidRDefault="00DF1285" w:rsidP="00DF1285">
      <w:pPr>
        <w:ind w:firstLineChars="83" w:firstLine="199"/>
      </w:pPr>
    </w:p>
    <w:p w:rsidR="0096771B" w:rsidRPr="001F1BB0" w:rsidRDefault="0096771B" w:rsidP="00E7281D">
      <w:pPr>
        <w:ind w:firstLineChars="0" w:firstLine="0"/>
      </w:pPr>
    </w:p>
    <w:sectPr w:rsidR="0096771B" w:rsidRPr="001F1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87B" w:rsidRDefault="0062087B" w:rsidP="007B3B1B">
      <w:pPr>
        <w:spacing w:line="240" w:lineRule="auto"/>
        <w:ind w:firstLine="480"/>
      </w:pPr>
      <w:r>
        <w:separator/>
      </w:r>
    </w:p>
  </w:endnote>
  <w:endnote w:type="continuationSeparator" w:id="0">
    <w:p w:rsidR="0062087B" w:rsidRDefault="0062087B" w:rsidP="007B3B1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B1B" w:rsidRDefault="007B3B1B" w:rsidP="007B3B1B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B1B" w:rsidRDefault="007B3B1B" w:rsidP="007B3B1B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B1B" w:rsidRDefault="007B3B1B" w:rsidP="007B3B1B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87B" w:rsidRDefault="0062087B" w:rsidP="007B3B1B">
      <w:pPr>
        <w:spacing w:line="240" w:lineRule="auto"/>
        <w:ind w:firstLine="480"/>
      </w:pPr>
      <w:r>
        <w:separator/>
      </w:r>
    </w:p>
  </w:footnote>
  <w:footnote w:type="continuationSeparator" w:id="0">
    <w:p w:rsidR="0062087B" w:rsidRDefault="0062087B" w:rsidP="007B3B1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B1B" w:rsidRDefault="007B3B1B" w:rsidP="007B3B1B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B1B" w:rsidRDefault="007B3B1B" w:rsidP="007B3B1B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B1B" w:rsidRDefault="007B3B1B" w:rsidP="007B3B1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CD"/>
    <w:rsid w:val="00004143"/>
    <w:rsid w:val="00004643"/>
    <w:rsid w:val="000138AD"/>
    <w:rsid w:val="00027321"/>
    <w:rsid w:val="00063121"/>
    <w:rsid w:val="0006472B"/>
    <w:rsid w:val="000847F4"/>
    <w:rsid w:val="000A7482"/>
    <w:rsid w:val="000C044F"/>
    <w:rsid w:val="000D251D"/>
    <w:rsid w:val="000D7C34"/>
    <w:rsid w:val="000F1E6B"/>
    <w:rsid w:val="000F481D"/>
    <w:rsid w:val="00101AD1"/>
    <w:rsid w:val="001048A7"/>
    <w:rsid w:val="001065E4"/>
    <w:rsid w:val="00107D54"/>
    <w:rsid w:val="00121620"/>
    <w:rsid w:val="0012280E"/>
    <w:rsid w:val="00124719"/>
    <w:rsid w:val="00132B3D"/>
    <w:rsid w:val="00136BDD"/>
    <w:rsid w:val="00141C36"/>
    <w:rsid w:val="00157E96"/>
    <w:rsid w:val="001652D3"/>
    <w:rsid w:val="00172F72"/>
    <w:rsid w:val="001A0AB3"/>
    <w:rsid w:val="001B53B9"/>
    <w:rsid w:val="001B6147"/>
    <w:rsid w:val="001C27EE"/>
    <w:rsid w:val="001C4B54"/>
    <w:rsid w:val="001C7A6E"/>
    <w:rsid w:val="001D4FF6"/>
    <w:rsid w:val="001D7543"/>
    <w:rsid w:val="001E5027"/>
    <w:rsid w:val="001F0233"/>
    <w:rsid w:val="001F16D3"/>
    <w:rsid w:val="001F1BB0"/>
    <w:rsid w:val="00204AF6"/>
    <w:rsid w:val="0021293D"/>
    <w:rsid w:val="0024163E"/>
    <w:rsid w:val="002421F4"/>
    <w:rsid w:val="002455CE"/>
    <w:rsid w:val="00250BEE"/>
    <w:rsid w:val="00251218"/>
    <w:rsid w:val="00255E4D"/>
    <w:rsid w:val="002563BB"/>
    <w:rsid w:val="002567DD"/>
    <w:rsid w:val="002723B4"/>
    <w:rsid w:val="002770FE"/>
    <w:rsid w:val="00286B71"/>
    <w:rsid w:val="0029002A"/>
    <w:rsid w:val="002901D1"/>
    <w:rsid w:val="00293971"/>
    <w:rsid w:val="002A0BBE"/>
    <w:rsid w:val="002B4F8E"/>
    <w:rsid w:val="002C1490"/>
    <w:rsid w:val="002C4284"/>
    <w:rsid w:val="002D2C6A"/>
    <w:rsid w:val="002E5234"/>
    <w:rsid w:val="002F182C"/>
    <w:rsid w:val="002F2752"/>
    <w:rsid w:val="002F5B53"/>
    <w:rsid w:val="002F5F52"/>
    <w:rsid w:val="002F7137"/>
    <w:rsid w:val="00307E9C"/>
    <w:rsid w:val="00310CAF"/>
    <w:rsid w:val="00316A0D"/>
    <w:rsid w:val="00323CF9"/>
    <w:rsid w:val="00327E63"/>
    <w:rsid w:val="00336795"/>
    <w:rsid w:val="003375D7"/>
    <w:rsid w:val="003403B0"/>
    <w:rsid w:val="00341C77"/>
    <w:rsid w:val="0034301F"/>
    <w:rsid w:val="003545BA"/>
    <w:rsid w:val="0036456A"/>
    <w:rsid w:val="0036570D"/>
    <w:rsid w:val="00391159"/>
    <w:rsid w:val="00394120"/>
    <w:rsid w:val="00396841"/>
    <w:rsid w:val="003A11CE"/>
    <w:rsid w:val="003A2882"/>
    <w:rsid w:val="003C62E5"/>
    <w:rsid w:val="003F28ED"/>
    <w:rsid w:val="003F2E94"/>
    <w:rsid w:val="00412BA0"/>
    <w:rsid w:val="00441C42"/>
    <w:rsid w:val="00447816"/>
    <w:rsid w:val="004514BC"/>
    <w:rsid w:val="00456241"/>
    <w:rsid w:val="00466F79"/>
    <w:rsid w:val="00477A2A"/>
    <w:rsid w:val="00481B7B"/>
    <w:rsid w:val="00487694"/>
    <w:rsid w:val="004A26A7"/>
    <w:rsid w:val="004B06D0"/>
    <w:rsid w:val="004B4820"/>
    <w:rsid w:val="004F0719"/>
    <w:rsid w:val="005029A9"/>
    <w:rsid w:val="005042D5"/>
    <w:rsid w:val="00507942"/>
    <w:rsid w:val="00513535"/>
    <w:rsid w:val="005263D1"/>
    <w:rsid w:val="00531ABA"/>
    <w:rsid w:val="00545035"/>
    <w:rsid w:val="00547946"/>
    <w:rsid w:val="00552DCA"/>
    <w:rsid w:val="00562917"/>
    <w:rsid w:val="00566EC4"/>
    <w:rsid w:val="00570961"/>
    <w:rsid w:val="005778F7"/>
    <w:rsid w:val="00584B77"/>
    <w:rsid w:val="005906BF"/>
    <w:rsid w:val="00592E79"/>
    <w:rsid w:val="005B43D6"/>
    <w:rsid w:val="005B4822"/>
    <w:rsid w:val="005E3029"/>
    <w:rsid w:val="005E6682"/>
    <w:rsid w:val="005E7D71"/>
    <w:rsid w:val="005F43F0"/>
    <w:rsid w:val="005F75B0"/>
    <w:rsid w:val="006033F4"/>
    <w:rsid w:val="0062087B"/>
    <w:rsid w:val="00620CD1"/>
    <w:rsid w:val="00626B6B"/>
    <w:rsid w:val="00627002"/>
    <w:rsid w:val="0067700B"/>
    <w:rsid w:val="00684398"/>
    <w:rsid w:val="006A26F7"/>
    <w:rsid w:val="006B5347"/>
    <w:rsid w:val="006C12CD"/>
    <w:rsid w:val="006C3344"/>
    <w:rsid w:val="006C745D"/>
    <w:rsid w:val="006E4FA9"/>
    <w:rsid w:val="006F0CE9"/>
    <w:rsid w:val="006F4E22"/>
    <w:rsid w:val="007029D2"/>
    <w:rsid w:val="00704F45"/>
    <w:rsid w:val="0072679E"/>
    <w:rsid w:val="00734CC9"/>
    <w:rsid w:val="007430E1"/>
    <w:rsid w:val="00763228"/>
    <w:rsid w:val="00767A62"/>
    <w:rsid w:val="00780A68"/>
    <w:rsid w:val="00797FE1"/>
    <w:rsid w:val="007A7C55"/>
    <w:rsid w:val="007B3421"/>
    <w:rsid w:val="007B3B1B"/>
    <w:rsid w:val="007B7B8E"/>
    <w:rsid w:val="007F1A2F"/>
    <w:rsid w:val="007F20B6"/>
    <w:rsid w:val="007F53AF"/>
    <w:rsid w:val="007F78BA"/>
    <w:rsid w:val="00801819"/>
    <w:rsid w:val="008022D8"/>
    <w:rsid w:val="008060B8"/>
    <w:rsid w:val="00810ECF"/>
    <w:rsid w:val="008215C5"/>
    <w:rsid w:val="00827737"/>
    <w:rsid w:val="00835671"/>
    <w:rsid w:val="00841337"/>
    <w:rsid w:val="008419BE"/>
    <w:rsid w:val="0085287A"/>
    <w:rsid w:val="00855F88"/>
    <w:rsid w:val="00871A87"/>
    <w:rsid w:val="00883EEA"/>
    <w:rsid w:val="00884FF1"/>
    <w:rsid w:val="00886AA7"/>
    <w:rsid w:val="0088761C"/>
    <w:rsid w:val="00890BF0"/>
    <w:rsid w:val="00890F52"/>
    <w:rsid w:val="008A70C6"/>
    <w:rsid w:val="008B662F"/>
    <w:rsid w:val="008D1594"/>
    <w:rsid w:val="008D33A4"/>
    <w:rsid w:val="008D35F7"/>
    <w:rsid w:val="008E1883"/>
    <w:rsid w:val="008E54FD"/>
    <w:rsid w:val="008F36A5"/>
    <w:rsid w:val="008F636E"/>
    <w:rsid w:val="008F7975"/>
    <w:rsid w:val="00905346"/>
    <w:rsid w:val="0090713F"/>
    <w:rsid w:val="00930F68"/>
    <w:rsid w:val="00931334"/>
    <w:rsid w:val="00943A8B"/>
    <w:rsid w:val="009509DF"/>
    <w:rsid w:val="00957ED4"/>
    <w:rsid w:val="00960B42"/>
    <w:rsid w:val="00963055"/>
    <w:rsid w:val="0096771B"/>
    <w:rsid w:val="00967E93"/>
    <w:rsid w:val="0097150B"/>
    <w:rsid w:val="00976682"/>
    <w:rsid w:val="00996A78"/>
    <w:rsid w:val="009A0595"/>
    <w:rsid w:val="009C1235"/>
    <w:rsid w:val="009D271F"/>
    <w:rsid w:val="009D5040"/>
    <w:rsid w:val="009D625E"/>
    <w:rsid w:val="009E4FAF"/>
    <w:rsid w:val="009F304D"/>
    <w:rsid w:val="009F738B"/>
    <w:rsid w:val="00A01AE7"/>
    <w:rsid w:val="00A07FB5"/>
    <w:rsid w:val="00A22649"/>
    <w:rsid w:val="00A31CEB"/>
    <w:rsid w:val="00A36DD9"/>
    <w:rsid w:val="00A43254"/>
    <w:rsid w:val="00A46DA0"/>
    <w:rsid w:val="00A50A56"/>
    <w:rsid w:val="00A662D0"/>
    <w:rsid w:val="00A74B9B"/>
    <w:rsid w:val="00A86C81"/>
    <w:rsid w:val="00A9279B"/>
    <w:rsid w:val="00A969BF"/>
    <w:rsid w:val="00AA5F6B"/>
    <w:rsid w:val="00AC0441"/>
    <w:rsid w:val="00AD02C2"/>
    <w:rsid w:val="00AE4EC9"/>
    <w:rsid w:val="00B02714"/>
    <w:rsid w:val="00B40EDD"/>
    <w:rsid w:val="00B458E7"/>
    <w:rsid w:val="00B579EB"/>
    <w:rsid w:val="00B6178D"/>
    <w:rsid w:val="00B674D6"/>
    <w:rsid w:val="00B8127F"/>
    <w:rsid w:val="00B93870"/>
    <w:rsid w:val="00BA3CD1"/>
    <w:rsid w:val="00BB1D54"/>
    <w:rsid w:val="00BB6C44"/>
    <w:rsid w:val="00BD7717"/>
    <w:rsid w:val="00BE0E09"/>
    <w:rsid w:val="00BE485D"/>
    <w:rsid w:val="00C16169"/>
    <w:rsid w:val="00C2090F"/>
    <w:rsid w:val="00C30C8E"/>
    <w:rsid w:val="00C4182B"/>
    <w:rsid w:val="00C47BB0"/>
    <w:rsid w:val="00C52D70"/>
    <w:rsid w:val="00C5459F"/>
    <w:rsid w:val="00C720AF"/>
    <w:rsid w:val="00C76880"/>
    <w:rsid w:val="00C80B21"/>
    <w:rsid w:val="00C9245F"/>
    <w:rsid w:val="00C93C9B"/>
    <w:rsid w:val="00C949EC"/>
    <w:rsid w:val="00CA1490"/>
    <w:rsid w:val="00CE2DC3"/>
    <w:rsid w:val="00CF5F33"/>
    <w:rsid w:val="00D04011"/>
    <w:rsid w:val="00D12E09"/>
    <w:rsid w:val="00D34D79"/>
    <w:rsid w:val="00D51357"/>
    <w:rsid w:val="00D539AF"/>
    <w:rsid w:val="00D60181"/>
    <w:rsid w:val="00D75380"/>
    <w:rsid w:val="00D82CF4"/>
    <w:rsid w:val="00DA2898"/>
    <w:rsid w:val="00DC0454"/>
    <w:rsid w:val="00DC5A9F"/>
    <w:rsid w:val="00DE2FDA"/>
    <w:rsid w:val="00DE65A9"/>
    <w:rsid w:val="00DF1285"/>
    <w:rsid w:val="00E05EED"/>
    <w:rsid w:val="00E12466"/>
    <w:rsid w:val="00E16DFF"/>
    <w:rsid w:val="00E30C29"/>
    <w:rsid w:val="00E32408"/>
    <w:rsid w:val="00E3461B"/>
    <w:rsid w:val="00E43C48"/>
    <w:rsid w:val="00E648F9"/>
    <w:rsid w:val="00E65332"/>
    <w:rsid w:val="00E670DD"/>
    <w:rsid w:val="00E7281D"/>
    <w:rsid w:val="00E86393"/>
    <w:rsid w:val="00E9195E"/>
    <w:rsid w:val="00EA2666"/>
    <w:rsid w:val="00EB779A"/>
    <w:rsid w:val="00ED316C"/>
    <w:rsid w:val="00EE076A"/>
    <w:rsid w:val="00EF04A7"/>
    <w:rsid w:val="00EF4E23"/>
    <w:rsid w:val="00F15667"/>
    <w:rsid w:val="00F1789D"/>
    <w:rsid w:val="00F23193"/>
    <w:rsid w:val="00F369EE"/>
    <w:rsid w:val="00F47F90"/>
    <w:rsid w:val="00F55D28"/>
    <w:rsid w:val="00F62609"/>
    <w:rsid w:val="00F8037A"/>
    <w:rsid w:val="00F943EE"/>
    <w:rsid w:val="00F9661B"/>
    <w:rsid w:val="00FA654A"/>
    <w:rsid w:val="00FB0568"/>
    <w:rsid w:val="00FB3267"/>
    <w:rsid w:val="00FC568D"/>
    <w:rsid w:val="00FF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CD"/>
    <w:pPr>
      <w:widowControl w:val="0"/>
      <w:spacing w:line="312" w:lineRule="auto"/>
      <w:ind w:firstLineChars="200" w:firstLine="200"/>
      <w:jc w:val="both"/>
    </w:pPr>
    <w:rPr>
      <w:rFonts w:ascii="Times New Roman" w:eastAsia="宋体" w:hAnsi="Times New Roman" w:cs="Times New Roman"/>
      <w:sz w:val="24"/>
    </w:rPr>
  </w:style>
  <w:style w:type="paragraph" w:styleId="2">
    <w:name w:val="heading 2"/>
    <w:basedOn w:val="a"/>
    <w:next w:val="a"/>
    <w:link w:val="2Char"/>
    <w:qFormat/>
    <w:rsid w:val="006C12CD"/>
    <w:pPr>
      <w:keepNext/>
      <w:keepLines/>
      <w:ind w:firstLineChars="0" w:firstLine="0"/>
      <w:jc w:val="center"/>
      <w:outlineLvl w:val="1"/>
    </w:pPr>
    <w:rPr>
      <w:rFonts w:ascii="Cambria" w:hAnsi="Cambria"/>
      <w:b/>
      <w:bCs/>
      <w:sz w:val="36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55F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6C12CD"/>
    <w:rPr>
      <w:rFonts w:ascii="Cambria" w:eastAsia="宋体" w:hAnsi="Cambria" w:cs="Times New Roman"/>
      <w:b/>
      <w:bCs/>
      <w:sz w:val="36"/>
      <w:szCs w:val="32"/>
    </w:rPr>
  </w:style>
  <w:style w:type="paragraph" w:styleId="a3">
    <w:name w:val="header"/>
    <w:basedOn w:val="a"/>
    <w:link w:val="Char"/>
    <w:uiPriority w:val="99"/>
    <w:unhideWhenUsed/>
    <w:rsid w:val="007B3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B1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3B1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B1B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121620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character" w:customStyle="1" w:styleId="3Char">
    <w:name w:val="标题 3 Char"/>
    <w:basedOn w:val="a0"/>
    <w:link w:val="3"/>
    <w:uiPriority w:val="9"/>
    <w:rsid w:val="00855F88"/>
    <w:rPr>
      <w:rFonts w:ascii="Times New Roman" w:eastAsia="宋体" w:hAnsi="Times New Roman" w:cs="Times New Roman"/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FC568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568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CD"/>
    <w:pPr>
      <w:widowControl w:val="0"/>
      <w:spacing w:line="312" w:lineRule="auto"/>
      <w:ind w:firstLineChars="200" w:firstLine="200"/>
      <w:jc w:val="both"/>
    </w:pPr>
    <w:rPr>
      <w:rFonts w:ascii="Times New Roman" w:eastAsia="宋体" w:hAnsi="Times New Roman" w:cs="Times New Roman"/>
      <w:sz w:val="24"/>
    </w:rPr>
  </w:style>
  <w:style w:type="paragraph" w:styleId="2">
    <w:name w:val="heading 2"/>
    <w:basedOn w:val="a"/>
    <w:next w:val="a"/>
    <w:link w:val="2Char"/>
    <w:qFormat/>
    <w:rsid w:val="006C12CD"/>
    <w:pPr>
      <w:keepNext/>
      <w:keepLines/>
      <w:ind w:firstLineChars="0" w:firstLine="0"/>
      <w:jc w:val="center"/>
      <w:outlineLvl w:val="1"/>
    </w:pPr>
    <w:rPr>
      <w:rFonts w:ascii="Cambria" w:hAnsi="Cambria"/>
      <w:b/>
      <w:bCs/>
      <w:sz w:val="36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55F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6C12CD"/>
    <w:rPr>
      <w:rFonts w:ascii="Cambria" w:eastAsia="宋体" w:hAnsi="Cambria" w:cs="Times New Roman"/>
      <w:b/>
      <w:bCs/>
      <w:sz w:val="36"/>
      <w:szCs w:val="32"/>
    </w:rPr>
  </w:style>
  <w:style w:type="paragraph" w:styleId="a3">
    <w:name w:val="header"/>
    <w:basedOn w:val="a"/>
    <w:link w:val="Char"/>
    <w:uiPriority w:val="99"/>
    <w:unhideWhenUsed/>
    <w:rsid w:val="007B3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3B1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3B1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3B1B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121620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character" w:customStyle="1" w:styleId="3Char">
    <w:name w:val="标题 3 Char"/>
    <w:basedOn w:val="a0"/>
    <w:link w:val="3"/>
    <w:uiPriority w:val="9"/>
    <w:rsid w:val="00855F88"/>
    <w:rPr>
      <w:rFonts w:ascii="Times New Roman" w:eastAsia="宋体" w:hAnsi="Times New Roman" w:cs="Times New Roman"/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FC568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56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A1E3D-D9AC-4034-BDBA-0C72645F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刘宁凤</dc:creator>
  <cp:lastModifiedBy>系统管理员</cp:lastModifiedBy>
  <cp:revision>36</cp:revision>
  <cp:lastPrinted>2019-09-29T06:44:00Z</cp:lastPrinted>
  <dcterms:created xsi:type="dcterms:W3CDTF">2019-09-27T01:10:00Z</dcterms:created>
  <dcterms:modified xsi:type="dcterms:W3CDTF">2022-08-09T04:30:00Z</dcterms:modified>
</cp:coreProperties>
</file>