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uto"/>
        <w:jc w:val="left"/>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附件5：</w:t>
      </w:r>
    </w:p>
    <w:p>
      <w:pPr>
        <w:spacing w:line="60" w:lineRule="auto"/>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2020年度其他重要事项的情况说明</w:t>
      </w:r>
    </w:p>
    <w:p>
      <w:pPr>
        <w:spacing w:line="60" w:lineRule="auto"/>
        <w:ind w:firstLine="616" w:firstLineChars="192"/>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一、“三公”经费财政拨款支出情况</w:t>
      </w:r>
    </w:p>
    <w:p>
      <w:pPr>
        <w:spacing w:line="560" w:lineRule="exact"/>
        <w:ind w:firstLine="6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北京市海淀区圆明园管理处部门因公出国（境）费用、公务接待费、公务用车购置和公务用车运行维护费开支单位包括所属0个行政单位、1个差额拨款事业单位。</w:t>
      </w:r>
    </w:p>
    <w:p>
      <w:pPr>
        <w:spacing w:line="560" w:lineRule="exac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2020年“三公”经费财政拨款决算数0.00万元，比2020年“三公”经费财政拨款预算下达数5.00万元减少5.00万元。其中：</w:t>
      </w:r>
    </w:p>
    <w:p>
      <w:pPr>
        <w:spacing w:line="560" w:lineRule="exact"/>
        <w:ind w:firstLine="6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1、因公出国（境）费用。2020年决算数0.00万元，比2020年年初预算数0.00万元增加</w:t>
      </w:r>
      <w:r>
        <w:rPr>
          <w:rFonts w:ascii="仿宋_GB2312" w:hAnsi="Times New Roman" w:eastAsia="仿宋_GB2312" w:cs="Times New Roman"/>
          <w:color w:val="000000" w:themeColor="text1"/>
          <w:sz w:val="32"/>
          <w:szCs w:val="32"/>
          <w14:textFill>
            <w14:solidFill>
              <w14:schemeClr w14:val="tx1"/>
            </w14:solidFill>
          </w14:textFill>
        </w:rPr>
        <w:t>0.00</w:t>
      </w:r>
      <w:r>
        <w:rPr>
          <w:rFonts w:hint="eastAsia" w:ascii="仿宋_GB2312" w:hAnsi="Times New Roman" w:eastAsia="仿宋_GB2312" w:cs="Times New Roman"/>
          <w:color w:val="000000" w:themeColor="text1"/>
          <w:sz w:val="32"/>
          <w:szCs w:val="32"/>
          <w14:textFill>
            <w14:solidFill>
              <w14:schemeClr w14:val="tx1"/>
            </w14:solidFill>
          </w14:textFill>
        </w:rPr>
        <w:t>万元。2020年组织因公出国（境）团组0个、0人次</w:t>
      </w:r>
      <w:bookmarkStart w:id="0" w:name="_GoBack"/>
      <w:bookmarkEnd w:id="0"/>
      <w:r>
        <w:rPr>
          <w:rFonts w:hint="eastAsia" w:ascii="仿宋_GB2312" w:hAnsi="Times New Roman" w:eastAsia="仿宋_GB2312" w:cs="Times New Roman"/>
          <w:color w:val="000000" w:themeColor="text1"/>
          <w:sz w:val="32"/>
          <w:szCs w:val="32"/>
          <w14:textFill>
            <w14:solidFill>
              <w14:schemeClr w14:val="tx1"/>
            </w14:solidFill>
          </w14:textFill>
        </w:rPr>
        <w:t>，人均因公出国（境）费用0.00万元。</w:t>
      </w:r>
    </w:p>
    <w:p>
      <w:pPr>
        <w:spacing w:line="560" w:lineRule="exact"/>
        <w:ind w:firstLine="6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2、公务接待费。2020年决算数0.00万元，比2020年预算数0.00万元增加</w:t>
      </w:r>
      <w:r>
        <w:rPr>
          <w:rFonts w:ascii="仿宋_GB2312" w:hAnsi="Times New Roman" w:eastAsia="仿宋_GB2312" w:cs="Times New Roman"/>
          <w:color w:val="000000" w:themeColor="text1"/>
          <w:sz w:val="32"/>
          <w:szCs w:val="32"/>
          <w14:textFill>
            <w14:solidFill>
              <w14:schemeClr w14:val="tx1"/>
            </w14:solidFill>
          </w14:textFill>
        </w:rPr>
        <w:t>0.00</w:t>
      </w:r>
      <w:r>
        <w:rPr>
          <w:rFonts w:hint="eastAsia" w:ascii="仿宋_GB2312" w:hAnsi="Times New Roman" w:eastAsia="仿宋_GB2312" w:cs="Times New Roman"/>
          <w:color w:val="000000" w:themeColor="text1"/>
          <w:sz w:val="32"/>
          <w:szCs w:val="32"/>
          <w14:textFill>
            <w14:solidFill>
              <w14:schemeClr w14:val="tx1"/>
            </w14:solidFill>
          </w14:textFill>
        </w:rPr>
        <w:t>万元。2020年公务接待0批次，公务接待0人次。</w:t>
      </w:r>
    </w:p>
    <w:p>
      <w:pPr>
        <w:spacing w:line="560" w:lineRule="exac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3、公务用车购置及运行维护费。2020年决算数0.00万元，比2020年预算数5.00万元减少5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其中，公务用车购置费2020年决算数0.00万元，比2020年预算数0.00万元增加0.00万元。2020年购置（更新）0辆，车均购置费0.00万元。公务用车运行维护费2020年决算数0.00万元，比2020年预算数5.00万元减少5.00万元。2020年公务用车保有量4辆，车均运行维护费0.00万元。</w:t>
      </w:r>
    </w:p>
    <w:p>
      <w:pPr>
        <w:ind w:left="540"/>
        <w:rPr>
          <w:rFonts w:ascii="仿宋_GB2312" w:hAnsi="宋体" w:eastAsia="仿宋_GB2312" w:cs="Times New Roman"/>
          <w:b/>
          <w:sz w:val="32"/>
          <w:szCs w:val="32"/>
        </w:rPr>
      </w:pPr>
      <w:r>
        <w:rPr>
          <w:rFonts w:hint="eastAsia" w:ascii="仿宋_GB2312" w:hAnsi="宋体" w:eastAsia="仿宋_GB2312" w:cs="宋体"/>
          <w:b/>
          <w:kern w:val="0"/>
          <w:sz w:val="32"/>
          <w:szCs w:val="32"/>
        </w:rPr>
        <w:t>二、2020年度机关运行</w:t>
      </w:r>
      <w:r>
        <w:rPr>
          <w:rFonts w:hint="eastAsia" w:ascii="仿宋_GB2312" w:hAnsi="宋体" w:eastAsia="仿宋_GB2312" w:cs="Times New Roman"/>
          <w:b/>
          <w:sz w:val="32"/>
          <w:szCs w:val="32"/>
        </w:rPr>
        <w:t>经费支出情况</w:t>
      </w:r>
    </w:p>
    <w:p>
      <w:pPr>
        <w:ind w:left="5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我单位不属于机关运行经费统计范围。</w:t>
      </w:r>
    </w:p>
    <w:p>
      <w:pPr>
        <w:ind w:left="54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三、2020年度政府采购支出情况</w:t>
      </w:r>
    </w:p>
    <w:p>
      <w:pPr>
        <w:spacing w:line="6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2020年政府采购支出总额</w:t>
      </w:r>
      <w:r>
        <w:rPr>
          <w:rFonts w:ascii="仿宋_GB2312" w:hAnsi="Times New Roman" w:eastAsia="仿宋_GB2312" w:cs="Times New Roman"/>
          <w:sz w:val="32"/>
          <w:szCs w:val="32"/>
        </w:rPr>
        <w:t>1,836.78</w:t>
      </w:r>
      <w:r>
        <w:rPr>
          <w:rFonts w:hint="eastAsia" w:ascii="仿宋_GB2312" w:hAnsi="Times New Roman" w:eastAsia="仿宋_GB2312" w:cs="Times New Roman"/>
          <w:sz w:val="32"/>
          <w:szCs w:val="32"/>
        </w:rPr>
        <w:t>万元，其中：政府采购货物支出</w:t>
      </w:r>
      <w:r>
        <w:rPr>
          <w:rFonts w:ascii="仿宋_GB2312" w:hAnsi="Times New Roman" w:eastAsia="仿宋_GB2312" w:cs="Times New Roman"/>
          <w:sz w:val="32"/>
          <w:szCs w:val="32"/>
        </w:rPr>
        <w:t>471.75</w:t>
      </w:r>
      <w:r>
        <w:rPr>
          <w:rFonts w:hint="eastAsia" w:ascii="仿宋_GB2312" w:hAnsi="Times New Roman" w:eastAsia="仿宋_GB2312" w:cs="Times New Roman"/>
          <w:sz w:val="32"/>
          <w:szCs w:val="32"/>
        </w:rPr>
        <w:t>万元，政府采购工程支出</w:t>
      </w:r>
      <w:r>
        <w:rPr>
          <w:rFonts w:ascii="仿宋_GB2312" w:hAnsi="Times New Roman" w:eastAsia="仿宋_GB2312" w:cs="Times New Roman"/>
          <w:sz w:val="32"/>
          <w:szCs w:val="32"/>
        </w:rPr>
        <w:t>0.00</w:t>
      </w:r>
      <w:r>
        <w:rPr>
          <w:rFonts w:hint="eastAsia" w:ascii="仿宋_GB2312" w:hAnsi="Times New Roman" w:eastAsia="仿宋_GB2312" w:cs="Times New Roman"/>
          <w:sz w:val="32"/>
          <w:szCs w:val="32"/>
        </w:rPr>
        <w:t>万元，政府采购服务支出</w:t>
      </w:r>
      <w:r>
        <w:rPr>
          <w:rFonts w:ascii="仿宋_GB2312" w:hAnsi="Times New Roman" w:eastAsia="仿宋_GB2312" w:cs="Times New Roman"/>
          <w:sz w:val="32"/>
          <w:szCs w:val="32"/>
        </w:rPr>
        <w:t>1,365.04</w:t>
      </w:r>
      <w:r>
        <w:rPr>
          <w:rFonts w:hint="eastAsia" w:ascii="仿宋_GB2312" w:hAnsi="Times New Roman" w:eastAsia="仿宋_GB2312" w:cs="Times New Roman"/>
          <w:sz w:val="32"/>
          <w:szCs w:val="32"/>
        </w:rPr>
        <w:t>万元。授予中小企业合同金额</w:t>
      </w:r>
      <w:r>
        <w:rPr>
          <w:rFonts w:ascii="仿宋_GB2312" w:hAnsi="Times New Roman" w:eastAsia="仿宋_GB2312" w:cs="Times New Roman"/>
          <w:sz w:val="32"/>
          <w:szCs w:val="32"/>
        </w:rPr>
        <w:t>1,836.78</w:t>
      </w:r>
      <w:r>
        <w:rPr>
          <w:rFonts w:hint="eastAsia" w:ascii="仿宋_GB2312" w:hAnsi="Times New Roman" w:eastAsia="仿宋_GB2312" w:cs="Times New Roman"/>
          <w:sz w:val="32"/>
          <w:szCs w:val="32"/>
        </w:rPr>
        <w:t>万元，占政府采购支出总额的100%，其中：授予小微企业合同金额</w:t>
      </w:r>
      <w:r>
        <w:rPr>
          <w:rFonts w:ascii="仿宋_GB2312" w:hAnsi="Times New Roman" w:eastAsia="仿宋_GB2312" w:cs="Times New Roman"/>
          <w:sz w:val="32"/>
          <w:szCs w:val="32"/>
        </w:rPr>
        <w:t>1,492.48</w:t>
      </w:r>
      <w:r>
        <w:rPr>
          <w:rFonts w:hint="eastAsia" w:ascii="仿宋_GB2312" w:hAnsi="Times New Roman" w:eastAsia="仿宋_GB2312" w:cs="Times New Roman"/>
          <w:sz w:val="32"/>
          <w:szCs w:val="32"/>
        </w:rPr>
        <w:t>万元，占政府采购支出总额的81.26%。</w:t>
      </w:r>
    </w:p>
    <w:p>
      <w:pPr>
        <w:spacing w:line="60" w:lineRule="auto"/>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四、2020年度国有资产占用情况</w:t>
      </w:r>
    </w:p>
    <w:p>
      <w:pPr>
        <w:tabs>
          <w:tab w:val="center" w:pos="6979"/>
        </w:tabs>
        <w:spacing w:line="60" w:lineRule="auto"/>
        <w:ind w:firstLine="627" w:firstLineChars="196"/>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2020年度车辆18台，</w:t>
      </w:r>
      <w:r>
        <w:rPr>
          <w:rFonts w:hint="eastAsia" w:ascii="仿宋_GB2312" w:eastAsia="仿宋_GB2312"/>
          <w:sz w:val="32"/>
          <w:szCs w:val="32"/>
        </w:rPr>
        <w:t>315.68</w:t>
      </w:r>
      <w:r>
        <w:rPr>
          <w:rFonts w:ascii="仿宋_GB2312" w:eastAsia="仿宋_GB2312"/>
          <w:sz w:val="32"/>
          <w:szCs w:val="32"/>
        </w:rPr>
        <w:t>万元</w:t>
      </w:r>
      <w:r>
        <w:rPr>
          <w:rFonts w:hint="eastAsia" w:ascii="仿宋_GB2312" w:hAnsi="Times New Roman" w:eastAsia="仿宋_GB2312" w:cs="Times New Roman"/>
          <w:sz w:val="32"/>
          <w:szCs w:val="32"/>
        </w:rPr>
        <w:t>；单价50万元以上的通用设备1台（套），</w:t>
      </w:r>
      <w:r>
        <w:rPr>
          <w:rFonts w:hint="eastAsia" w:ascii="仿宋_GB2312" w:eastAsia="仿宋_GB2312"/>
          <w:sz w:val="32"/>
          <w:szCs w:val="32"/>
        </w:rPr>
        <w:t>1186.29</w:t>
      </w:r>
      <w:r>
        <w:rPr>
          <w:rFonts w:hint="eastAsia" w:ascii="仿宋_GB2312" w:hAnsi="Times New Roman" w:eastAsia="仿宋_GB2312" w:cs="Times New Roman"/>
          <w:sz w:val="32"/>
          <w:szCs w:val="32"/>
        </w:rPr>
        <w:t>万元，单价100万元以上的专用设备2台（套），</w:t>
      </w:r>
      <w:r>
        <w:rPr>
          <w:rFonts w:hint="eastAsia" w:ascii="仿宋_GB2312" w:eastAsia="仿宋_GB2312"/>
          <w:sz w:val="32"/>
          <w:szCs w:val="32"/>
        </w:rPr>
        <w:t>1572.70</w:t>
      </w:r>
      <w:r>
        <w:rPr>
          <w:rFonts w:hint="eastAsia" w:ascii="仿宋_GB2312" w:hAnsi="Times New Roman" w:eastAsia="仿宋_GB2312" w:cs="Times New Roman"/>
          <w:sz w:val="32"/>
          <w:szCs w:val="32"/>
        </w:rPr>
        <w:t>万元。</w:t>
      </w:r>
    </w:p>
    <w:p>
      <w:pPr>
        <w:spacing w:line="60" w:lineRule="auto"/>
        <w:ind w:firstLine="642"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五、2020年度政府购买服务支出情况</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w:t>
      </w:r>
      <w:r>
        <w:rPr>
          <w:rFonts w:ascii="仿宋_GB2312" w:eastAsia="仿宋_GB2312"/>
          <w:sz w:val="32"/>
          <w:szCs w:val="32"/>
        </w:rPr>
        <w:t>年</w:t>
      </w:r>
      <w:r>
        <w:rPr>
          <w:rFonts w:hint="eastAsia" w:ascii="仿宋_GB2312" w:eastAsia="仿宋_GB2312"/>
          <w:sz w:val="32"/>
          <w:szCs w:val="32"/>
        </w:rPr>
        <w:t>，我单位不涉及政府购买服务</w:t>
      </w:r>
      <w:r>
        <w:rPr>
          <w:rFonts w:ascii="仿宋_GB2312" w:eastAsia="仿宋_GB2312"/>
          <w:sz w:val="32"/>
          <w:szCs w:val="32"/>
        </w:rPr>
        <w:t>。</w:t>
      </w:r>
    </w:p>
    <w:p>
      <w:pPr>
        <w:tabs>
          <w:tab w:val="center" w:pos="6979"/>
        </w:tabs>
        <w:spacing w:line="60" w:lineRule="auto"/>
        <w:ind w:firstLine="629" w:firstLineChars="196"/>
        <w:rPr>
          <w:rFonts w:ascii="仿宋_GB2312" w:hAnsi="Times New Roman" w:eastAsia="仿宋_GB2312" w:cs="Times New Roman"/>
          <w:b/>
          <w:i/>
          <w:sz w:val="32"/>
          <w:szCs w:val="32"/>
        </w:rPr>
      </w:pPr>
      <w:r>
        <w:rPr>
          <w:rFonts w:hint="eastAsia" w:ascii="仿宋_GB2312" w:hAnsi="Times New Roman" w:eastAsia="仿宋_GB2312" w:cs="Times New Roman"/>
          <w:b/>
          <w:i/>
          <w:sz w:val="32"/>
          <w:szCs w:val="32"/>
        </w:rPr>
        <w:t>六、2020年项目支出绩效自评报告情况</w:t>
      </w:r>
    </w:p>
    <w:p>
      <w:pPr>
        <w:tabs>
          <w:tab w:val="center" w:pos="6979"/>
        </w:tabs>
        <w:spacing w:line="60" w:lineRule="auto"/>
        <w:ind w:firstLine="640" w:firstLineChars="200"/>
        <w:rPr>
          <w:rFonts w:ascii="仿宋_GB2312" w:eastAsia="仿宋_GB2312"/>
          <w:b/>
          <w:sz w:val="32"/>
          <w:szCs w:val="32"/>
        </w:rPr>
      </w:pPr>
      <w:r>
        <w:rPr>
          <w:rFonts w:hint="eastAsia" w:ascii="仿宋_GB2312" w:eastAsia="仿宋_GB2312"/>
          <w:sz w:val="32"/>
          <w:szCs w:val="32"/>
        </w:rPr>
        <w:t>本部门对2020年度圆明园湖面补水及水环境保护专项项目实施绩效自评，涉及金额1159.65万元。自评结果为优秀。</w:t>
      </w:r>
    </w:p>
    <w:p>
      <w:pPr>
        <w:spacing w:line="60" w:lineRule="auto"/>
        <w:ind w:firstLine="642" w:firstLineChars="200"/>
        <w:rPr>
          <w:rFonts w:ascii="仿宋_GB2312" w:hAnsi="Times New Roman" w:eastAsia="仿宋_GB2312" w:cs="Times New Roman"/>
          <w:b/>
          <w:i/>
          <w:color w:val="FF0000"/>
          <w:sz w:val="32"/>
          <w:szCs w:val="32"/>
        </w:rPr>
      </w:pPr>
      <w:r>
        <w:rPr>
          <w:rFonts w:hint="eastAsia" w:ascii="仿宋_GB2312" w:hAnsi="Times New Roman" w:eastAsia="仿宋_GB2312" w:cs="Times New Roman"/>
          <w:b/>
          <w:sz w:val="32"/>
          <w:szCs w:val="32"/>
        </w:rPr>
        <w:t>七、名词解释</w:t>
      </w:r>
    </w:p>
    <w:p>
      <w:pPr>
        <w:spacing w:line="60" w:lineRule="auto"/>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宋体" w:eastAsia="仿宋_GB2312" w:cs="Times New Roman"/>
          <w:sz w:val="32"/>
          <w:szCs w:val="32"/>
        </w:rPr>
        <w:t>三公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pPr>
        <w:spacing w:line="60" w:lineRule="auto"/>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宋体" w:eastAsia="仿宋_GB2312" w:cs="Times New Roman"/>
          <w:sz w:val="32"/>
          <w:szCs w:val="32"/>
        </w:rPr>
        <w:t>机关运行经费支出，是指</w:t>
      </w:r>
      <w:r>
        <w:rPr>
          <w:rFonts w:hint="eastAsia" w:ascii="仿宋_GB2312" w:hAnsi="Times New Roman" w:eastAsia="仿宋_GB2312" w:cs="Times New Roman"/>
          <w:sz w:val="32"/>
          <w:szCs w:val="32"/>
        </w:rPr>
        <w:t>为行政单位和参照公务员法管理事业单位使用的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pPr>
        <w:spacing w:line="60" w:lineRule="auto"/>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3.政府采购：指各级国家机关、事业单位和团体组织，使用财政性资金采购依法制定的集中目录以内的或者采购限额标准以上的货物、工程和服务的行为。</w:t>
      </w:r>
    </w:p>
    <w:p>
      <w:pPr>
        <w:spacing w:line="60" w:lineRule="auto"/>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ind w:firstLine="640" w:firstLineChars="200"/>
        <w:rPr>
          <w:rFonts w:ascii="仿宋_GB2312" w:eastAsia="仿宋_GB2312"/>
          <w:sz w:val="32"/>
          <w:szCs w:val="32"/>
        </w:rPr>
      </w:pPr>
      <w:r>
        <w:rPr>
          <w:rFonts w:hint="eastAsia" w:ascii="仿宋_GB2312" w:hAnsi="Times New Roman" w:eastAsia="仿宋_GB2312" w:cs="Times New Roman"/>
          <w:sz w:val="32"/>
          <w:szCs w:val="32"/>
        </w:rPr>
        <w:t>5．</w:t>
      </w:r>
      <w:r>
        <w:fldChar w:fldCharType="begin"/>
      </w:r>
      <w:r>
        <w:instrText xml:space="preserve"> HYPERLINK "https://baike.baidu.com/item/%E5%9B%BD%E5%AE%B6%E8%80%83%E5%8F%A4%E9%81%97%E5%9D%80%E5%85%AC%E5%9B%AD/5233408" \t "_blank" </w:instrText>
      </w:r>
      <w:r>
        <w:fldChar w:fldCharType="separate"/>
      </w:r>
      <w:r>
        <w:rPr>
          <w:rFonts w:ascii="仿宋_GB2312" w:eastAsia="仿宋_GB2312"/>
          <w:sz w:val="32"/>
          <w:szCs w:val="32"/>
        </w:rPr>
        <w:t>国家考古遗址公园</w:t>
      </w:r>
      <w:r>
        <w:rPr>
          <w:rFonts w:ascii="仿宋_GB2312" w:eastAsia="仿宋_GB2312"/>
          <w:sz w:val="32"/>
          <w:szCs w:val="32"/>
        </w:rPr>
        <w:fldChar w:fldCharType="end"/>
      </w:r>
      <w:r>
        <w:rPr>
          <w:rFonts w:hint="eastAsia" w:ascii="仿宋_GB2312" w:eastAsia="仿宋_GB2312"/>
          <w:sz w:val="32"/>
          <w:szCs w:val="32"/>
        </w:rPr>
        <w:t>：</w:t>
      </w:r>
      <w:r>
        <w:fldChar w:fldCharType="begin"/>
      </w:r>
      <w:r>
        <w:instrText xml:space="preserve"> HYPERLINK "https://baike.baidu.com/item/%E5%9B%BD%E5%AE%B6%E8%80%83%E5%8F%A4%E9%81%97%E5%9D%80%E5%85%AC%E5%9B%AD/5233408" \t "_blank" </w:instrText>
      </w:r>
      <w:r>
        <w:fldChar w:fldCharType="separate"/>
      </w:r>
      <w:r>
        <w:rPr>
          <w:rFonts w:ascii="仿宋_GB2312" w:eastAsia="仿宋_GB2312"/>
          <w:sz w:val="32"/>
          <w:szCs w:val="32"/>
        </w:rPr>
        <w:t>国家考古遗址公园</w:t>
      </w:r>
      <w:r>
        <w:rPr>
          <w:rFonts w:ascii="仿宋_GB2312" w:eastAsia="仿宋_GB2312"/>
          <w:sz w:val="32"/>
          <w:szCs w:val="32"/>
        </w:rPr>
        <w:fldChar w:fldCharType="end"/>
      </w:r>
      <w:r>
        <w:rPr>
          <w:rFonts w:ascii="仿宋_GB2312" w:eastAsia="仿宋_GB2312"/>
          <w:sz w:val="32"/>
          <w:szCs w:val="32"/>
        </w:rPr>
        <w:t>，是指以重要考古遗址及其背景环境为主体，具有科研、教育、游憩等功能，在考古遗址保护和展示方面具有全国性示范意义的特定公共空间。</w:t>
      </w:r>
      <w:r>
        <w:fldChar w:fldCharType="begin"/>
      </w:r>
      <w:r>
        <w:instrText xml:space="preserve"> HYPERLINK "https://baike.baidu.com/item/%E5%9B%BD%E5%AE%B6%E6%96%87%E7%89%A9%E5%B1%80/10940406" \t "_blank" </w:instrText>
      </w:r>
      <w:r>
        <w:fldChar w:fldCharType="separate"/>
      </w:r>
      <w:r>
        <w:rPr>
          <w:rFonts w:ascii="仿宋_GB2312" w:eastAsia="仿宋_GB2312"/>
          <w:sz w:val="32"/>
          <w:szCs w:val="32"/>
        </w:rPr>
        <w:t>国家文物局</w:t>
      </w:r>
      <w:r>
        <w:rPr>
          <w:rFonts w:ascii="仿宋_GB2312" w:eastAsia="仿宋_GB2312"/>
          <w:sz w:val="32"/>
          <w:szCs w:val="32"/>
        </w:rPr>
        <w:fldChar w:fldCharType="end"/>
      </w:r>
      <w:r>
        <w:rPr>
          <w:rFonts w:ascii="仿宋_GB2312" w:eastAsia="仿宋_GB2312"/>
          <w:sz w:val="32"/>
          <w:szCs w:val="32"/>
        </w:rPr>
        <w:t>负责国家考古遗址公园的评定管理工作，先经该国家局批准立项，</w:t>
      </w:r>
      <w:r>
        <w:fldChar w:fldCharType="begin"/>
      </w:r>
      <w:r>
        <w:instrText xml:space="preserve"> HYPERLINK "https://baike.baidu.com/item/%E8%80%83%E5%8F%A4%E9%81%97%E5%9D%80%E5%85%AC%E5%9B%AD/1524254" \t "_blank" </w:instrText>
      </w:r>
      <w:r>
        <w:fldChar w:fldCharType="separate"/>
      </w:r>
      <w:r>
        <w:rPr>
          <w:rFonts w:ascii="仿宋_GB2312" w:eastAsia="仿宋_GB2312"/>
          <w:sz w:val="32"/>
          <w:szCs w:val="32"/>
        </w:rPr>
        <w:t>考古遗址公园</w:t>
      </w:r>
      <w:r>
        <w:rPr>
          <w:rFonts w:ascii="仿宋_GB2312" w:eastAsia="仿宋_GB2312"/>
          <w:sz w:val="32"/>
          <w:szCs w:val="32"/>
        </w:rPr>
        <w:fldChar w:fldCharType="end"/>
      </w:r>
      <w:r>
        <w:rPr>
          <w:rFonts w:ascii="仿宋_GB2312" w:eastAsia="仿宋_GB2312"/>
          <w:sz w:val="32"/>
          <w:szCs w:val="32"/>
        </w:rPr>
        <w:t>符合若干条件且已初具规模后再开展评定工作。评定合格者，由国家文物局授予“国家考古遗址公园”称号，并向社会公布。</w:t>
      </w:r>
    </w:p>
    <w:p>
      <w:pPr>
        <w:ind w:firstLine="640" w:firstLineChars="200"/>
        <w:rPr>
          <w:rFonts w:ascii="仿宋_GB2312" w:eastAsia="仿宋_GB2312"/>
          <w:sz w:val="32"/>
          <w:szCs w:val="32"/>
        </w:rPr>
      </w:pPr>
      <w:r>
        <w:rPr>
          <w:rFonts w:hint="eastAsia" w:ascii="仿宋_GB2312" w:hAnsi="Times New Roman" w:eastAsia="仿宋_GB2312" w:cs="Times New Roman"/>
          <w:sz w:val="32"/>
          <w:szCs w:val="32"/>
        </w:rPr>
        <w:t>6.</w:t>
      </w:r>
      <w:r>
        <w:rPr>
          <w:rFonts w:hint="eastAsia" w:ascii="仿宋_GB2312" w:eastAsia="仿宋_GB2312"/>
          <w:sz w:val="32"/>
          <w:szCs w:val="32"/>
        </w:rPr>
        <w:t xml:space="preserve"> 5A景区：</w:t>
      </w:r>
      <w:r>
        <w:rPr>
          <w:rFonts w:ascii="仿宋_GB2312" w:eastAsia="仿宋_GB2312"/>
          <w:sz w:val="32"/>
          <w:szCs w:val="32"/>
        </w:rPr>
        <w:t>国家</w:t>
      </w:r>
      <w:r>
        <w:rPr>
          <w:rFonts w:hint="eastAsia" w:ascii="仿宋_GB2312" w:eastAsia="仿宋_GB2312"/>
          <w:sz w:val="32"/>
          <w:szCs w:val="32"/>
        </w:rPr>
        <w:t>A</w:t>
      </w:r>
      <w:r>
        <w:rPr>
          <w:rFonts w:ascii="仿宋_GB2312" w:eastAsia="仿宋_GB2312"/>
          <w:sz w:val="32"/>
          <w:szCs w:val="32"/>
        </w:rPr>
        <w:t>AAAA级旅游景区，指的是依据中华人民共和国旅游景区质量等级划分的景区级别，共分为五级，从高到低依次为AAAAA、AAAA、AAA、AA、A级旅游景区。</w:t>
      </w:r>
    </w:p>
    <w:p>
      <w:pPr>
        <w:spacing w:line="60" w:lineRule="auto"/>
        <w:ind w:firstLine="480" w:firstLineChars="15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7．爱国主义教育基地：爱国主义教育基地是指提高全民族整体素质的基础性工程，是引导人们特别是广大青少年树立正确理想、信念、人生观、价值观，促进中华民族振兴的一项重要工作。1995年3月，民政部确定了第一批（100处）爱国主义教育基地。</w:t>
      </w:r>
    </w:p>
    <w:p>
      <w:pPr>
        <w:spacing w:line="60" w:lineRule="auto"/>
        <w:ind w:firstLine="614" w:firstLineChars="192"/>
        <w:rPr>
          <w:rFonts w:ascii="仿宋_GB2312" w:hAnsi="Times New Roman" w:eastAsia="仿宋_GB2312" w:cs="Times New Roman"/>
          <w:sz w:val="32"/>
          <w:szCs w:val="32"/>
        </w:rPr>
      </w:pPr>
    </w:p>
    <w:p>
      <w:pPr>
        <w:rPr>
          <w:rFonts w:ascii="仿宋_GB2312" w:eastAsia="仿宋_GB2312"/>
          <w:sz w:val="32"/>
          <w:szCs w:val="32"/>
        </w:rPr>
      </w:pPr>
    </w:p>
    <w:sectPr>
      <w:footerReference r:id="rId3" w:type="default"/>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9902032"/>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50"/>
    <w:rsid w:val="00016866"/>
    <w:rsid w:val="00037112"/>
    <w:rsid w:val="00140A69"/>
    <w:rsid w:val="0015501E"/>
    <w:rsid w:val="00197667"/>
    <w:rsid w:val="001E261A"/>
    <w:rsid w:val="0028321D"/>
    <w:rsid w:val="002A0E30"/>
    <w:rsid w:val="002A18E0"/>
    <w:rsid w:val="002E0324"/>
    <w:rsid w:val="002E307D"/>
    <w:rsid w:val="002E4419"/>
    <w:rsid w:val="0030115A"/>
    <w:rsid w:val="003117E0"/>
    <w:rsid w:val="0032246E"/>
    <w:rsid w:val="003475A0"/>
    <w:rsid w:val="003F505D"/>
    <w:rsid w:val="004246E6"/>
    <w:rsid w:val="0043592E"/>
    <w:rsid w:val="00470E38"/>
    <w:rsid w:val="00473089"/>
    <w:rsid w:val="004C3D4A"/>
    <w:rsid w:val="004C62B8"/>
    <w:rsid w:val="004D0C73"/>
    <w:rsid w:val="00502C82"/>
    <w:rsid w:val="005750A3"/>
    <w:rsid w:val="00587416"/>
    <w:rsid w:val="005D1CBE"/>
    <w:rsid w:val="005F7579"/>
    <w:rsid w:val="00632531"/>
    <w:rsid w:val="006451F2"/>
    <w:rsid w:val="0066623C"/>
    <w:rsid w:val="00691EED"/>
    <w:rsid w:val="006C3A6E"/>
    <w:rsid w:val="0074551C"/>
    <w:rsid w:val="007708EC"/>
    <w:rsid w:val="00786236"/>
    <w:rsid w:val="00792E52"/>
    <w:rsid w:val="00810EC8"/>
    <w:rsid w:val="00886D97"/>
    <w:rsid w:val="00940841"/>
    <w:rsid w:val="0099656B"/>
    <w:rsid w:val="00A000D0"/>
    <w:rsid w:val="00A3334B"/>
    <w:rsid w:val="00B401C8"/>
    <w:rsid w:val="00B5652C"/>
    <w:rsid w:val="00B85350"/>
    <w:rsid w:val="00BC385C"/>
    <w:rsid w:val="00C20C45"/>
    <w:rsid w:val="00C63FE5"/>
    <w:rsid w:val="00CA3DAB"/>
    <w:rsid w:val="00CB6239"/>
    <w:rsid w:val="00CD0EFC"/>
    <w:rsid w:val="00D10E68"/>
    <w:rsid w:val="00D75619"/>
    <w:rsid w:val="00D80E0F"/>
    <w:rsid w:val="00DB2C2E"/>
    <w:rsid w:val="00DB7493"/>
    <w:rsid w:val="00E8132B"/>
    <w:rsid w:val="00E9084E"/>
    <w:rsid w:val="00ED0F1C"/>
    <w:rsid w:val="00F07BBB"/>
    <w:rsid w:val="00F360FF"/>
    <w:rsid w:val="5FFF9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351</Words>
  <Characters>2005</Characters>
  <Lines>16</Lines>
  <Paragraphs>4</Paragraphs>
  <TotalTime>19</TotalTime>
  <ScaleCrop>false</ScaleCrop>
  <LinksUpToDate>false</LinksUpToDate>
  <CharactersWithSpaces>2352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2022-09-06T15:59:00Z</dcterms:created>
  <dc:creator>张晓丹</dc:creator>
  <cp:lastModifiedBy>user</cp:lastModifiedBy>
  <cp:lastPrinted>2020-06-30T14:14:00Z</cp:lastPrinted>
  <dcterms:modified xsi:type="dcterms:W3CDTF">2022-09-06T18:08:18Z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